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600" w:type="dxa"/>
        <w:tblInd w:w="100" w:type="dxa"/>
        <w:tblBorders>
          <w:left w:val="single" w:sz="0" w:space="0" w:color="auto"/>
          <w:top w:val="single" w:sz="0" w:space="0" w:color="auto"/>
          <w:right w:val="single" w:sz="0" w:space="0" w:color="auto"/>
          <w:bottom w:val="single" w:sz="0" w:space="0" w:color="auto"/>
          <w:insideV w:val="single" w:sz="0" w:space="0" w:color="auto"/>
          <w:insideH w:val="single" w:sz="0" w:space="0" w:color="auto"/>
        </w:tblBorders>
        <w:tblLayout w:type="fixed"/>
        <w:tblCellMar>
          <w:left w:w="100" w:type="dxa"/>
          <w:top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055"/>
        <w:gridCol w:w="9545"/>
      </w:tblGrid>
      <w:tr>
        <w:trPr>
          <w:trHeight w:val="366"/>
        </w:trPr>
        <w:tc>
          <w:tcPr>
            <w:shd w:val="clear" w:color="auto" w:fill="BFBFBF"/>
            <w:tcW w:w="1055" w:type="dxa"/>
            <w:vAlign w:val="center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№ п/п</w:t>
            </w:r>
            <w:r/>
          </w:p>
        </w:tc>
        <w:tc>
          <w:tcPr>
            <w:shd w:val="clear" w:color="auto" w:fill="BFBFBF"/>
            <w:tcW w:w="9545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ТРЕБОВАНИЯ К СОДЕРЖАНИЮ, СОСТАВУ ЗАЯВКИ НА УЧАСТИЕ В ЗАКУПКЕ</w:t>
            </w:r>
            <w:r/>
          </w:p>
        </w:tc>
      </w:tr>
      <w:tr>
        <w:trPr/>
        <w:tc>
          <w:tcPr>
            <w:gridSpan w:val="2"/>
            <w:tcW w:w="10600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1. Информация и документы об участнике закупки, подавшем заявку на участие в закупке:</w:t>
            </w:r>
            <w:r/>
          </w:p>
        </w:tc>
      </w:tr>
      <w:tr>
        <w:trPr>
          <w:trHeight w:val="1672"/>
        </w:trPr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1.1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Полное и сокращенное (при наличии) наименование юридического лица (если участником закупки является юридическое лицо) либо иностранного юридического лица (если учас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тником закупки является иностранное юридическое лицо), либо аккредитованного филиала или представительства иностранного юридического лица (если участником закупки является аккредитованный филиал или представительство иностранного юридического лица), наимен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ование обособленного подразделения (если от имени участника закупки выступает обособленное подразделение юридического лица), фамилия, имя, отчество (при наличии) (если участником закупки является физическое лицо, в том числе зарегистрированное в качестве и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ндивидуального предпринимателя)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1.2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Фамилия, имя, отчество (при наличии), идентификационный номер налогоплательщика (при наличии), должность лица, имеющего право без доверенности действовать от имени юридического лица либо действующего в качестве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руководителя юридического лица,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аккредитованного филиала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или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представительства иностранного юридического лица,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либо исполняющего функции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единоличного исполнительного органа юридического лица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1.3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Идентификационный номер налогоплательщика (при наличии) член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ов коллегиального исполнительного органа, лица, исполняющего функции единоличного исполнительного органа, управляющего (при наличии), управляющей организации (при наличии), участников (членов) корпоративного юридического лица, владеющих более чем двадцатью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пятью процентами акций (долей, паев) корпоративного юридического лица, учредителей унитарного юридического лица, или в соответствии с законодательством соответствующего иностранного государства аналог идентификационного номера налогоплательщика таких лиц.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1.4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Адрес юридического лица (е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сли участником закупки является юридическое лицо) либо иностранного юридического лица (если участником закупки является иностранное юридическое лицо) в пределах места нахождения юридического лица, адрес (место нахождения) на территории Российской Федерации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(если участником закупки является аккредитованный филиал или представительство иностранного юридического лица), адрес (место нахождения) обособленного подразделения (если от имени участника закупки выступает обособленное подразделение юридического лица),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место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жительства физического лица, в том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числе зарегистрированного в качестве индивидуального предпринимателя (если участник закупки является физическим лицом, в том числе зарегистрированным в качестве индивидуального предпринимателя), а также адрес электронной почты, номер контактного телефона.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1.5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Копия документа, удостоверяющего личность участника закупки в соответствии с законодательством Российской Федерации (если участник закупки является физическим лицом, не являющимся индивидуальным предпринимателем.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1.6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Идентификационный номер налогоплательщика юридического лица (если участником закупки является юридическое лицо) либо аккредитова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нного филиала или представительства иностранного юридического лица (если участником закупки является аккредитованный филиал или представительство иностранного юридического лица), либо физического лица, в том числе зарегистрированного в качестве индивидуаль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ного предпринимателя (если участником закупки является физическое лицо, в том числе зарегистрированное в качестве индивидуального предпринимателя), аналог идентификационного номера налогоплательщика в соответствии с законодательством соответствующего иност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ранного государства (если участником закупки является иностранное лицо), а также код причины постановки на учет юридического лица (если участником закупки является юридическое лицо) либо аккредитованного филиала или представительства иностранного юридическ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ого лица (если участником закупки является аккредитованный филиал или представительство иностранного юридического лица), обособленного подразделения юридического лица (если от имени участника закупки выступает обособленное подразделение юридического лица).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1.7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Выписка из единого госуда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рственного реестра юридических лиц (если участником закупки является юридическое лицо) или ее копия, выписка из единого государственного реестра индивидуальных предпринимателей (если участником закупки является индивидуальный предприниматель) или ее копия.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1.8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Надлежащим образом заверенный перевод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(если участником закупки, является иностранное лицо).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1.9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ind w:hanging="21"/>
              <w:jc w:val="both"/>
              <w:spacing w:lineRule="atLeast" w:line="220"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Декларация о принадлежности участника закупки к учреждению или предприятию уголовно-исполнительной системы (если участник закупки является учреждением или предприятием у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головно-исполнительной системы)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  <w:u w:val="single"/>
              </w:rPr>
              <w:t xml:space="preserve">- не установлено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1.10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ind w:hanging="21"/>
              <w:jc w:val="both"/>
              <w:spacing w:lineRule="atLeast" w:line="220"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Декларация о принадлежности участника закупки к организации инвалидов, предусмотренной </w:t>
            </w:r>
            <w:hyperlink w:tooltip="#P716" w:anchor="P716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частью 2 статьи 29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Федерального закона № 44-ФЗ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(если участник закуп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ки является такой организацией)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  <w:u w:val="single"/>
              </w:rPr>
              <w:t xml:space="preserve">- не установлено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1.11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ind w:hanging="21"/>
              <w:jc w:val="both"/>
              <w:spacing w:lineRule="atLeast" w:line="220"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Декларация о принадлежности участника закупки к социально ориентированным некоммерческим организациям в случае установления преимущества, предусмотренного </w:t>
            </w:r>
            <w:hyperlink w:tooltip="#P740" w:anchor="P740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частью 3 статьи 30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Федерального закона № 44-ФЗ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  <w:u w:val="single"/>
              </w:rPr>
              <w:t xml:space="preserve">- не установлено</w:t>
            </w:r>
            <w:r/>
          </w:p>
        </w:tc>
      </w:tr>
      <w:tr>
        <w:trPr/>
        <w:tc>
          <w:tcPr>
            <w:gridSpan w:val="2"/>
            <w:tcW w:w="10600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Такие информация и документы (предусмотренные подпунктами 1.1 - 1.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пункта 1)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не включаются участником закупки в заявку на участие в закупке. Такие информация и документы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площадке.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1.12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закупки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заключение контракта на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выполнение работы или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1.13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lineRule="atLeast" w:line="220"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Документы, подтверждающие соответствие участника закупки требованиям, установленным </w:t>
            </w:r>
            <w:hyperlink w:tooltip="#P775" w:anchor="P775" w:history="1">
              <w:r>
                <w:rPr>
                  <w:rFonts w:ascii="Times New Roman" w:hAnsi="Times New Roman" w:cs="Times New Roman" w:eastAsia="Courier New"/>
                  <w:b/>
                  <w:sz w:val="20"/>
                  <w:szCs w:val="20"/>
                </w:rPr>
                <w:t xml:space="preserve">пунктом </w:t>
              </w:r>
              <w:r>
                <w:rPr>
                  <w:rFonts w:ascii="Times New Roman" w:hAnsi="Times New Roman" w:cs="Times New Roman" w:eastAsia="Courier New"/>
                  <w:b/>
                  <w:sz w:val="20"/>
                  <w:szCs w:val="20"/>
                </w:rPr>
                <w:t xml:space="preserve">1 части 1 статьи 31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Федерального закона № 44-ФЗ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:</w:t>
            </w:r>
            <w:r/>
          </w:p>
          <w:p>
            <w:pPr>
              <w:jc w:val="both"/>
              <w:spacing w:lineRule="atLeast" w:line="220"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b w:val="false"/>
                <w:i w:val="false"/>
                <w:color w:val="000000"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false"/>
                <w:i w:val="false"/>
                <w:color w:val="000000"/>
                <w:sz w:val="20"/>
                <w:szCs w:val="20"/>
              </w:rPr>
              <w:t xml:space="preserve">1)</w:t>
            </w:r>
            <w:r>
              <w:rPr>
                <w:rFonts w:ascii="Times New Roman" w:hAnsi="Times New Roman" w:cs="Times New Roman" w:eastAsia="Times New Roman"/>
                <w:b w:val="false"/>
                <w:i w:val="false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 w:val="false"/>
                <w:i w:val="false"/>
                <w:color w:val="000000"/>
                <w:sz w:val="20"/>
                <w:szCs w:val="20"/>
              </w:rPr>
              <w:t xml:space="preserve">Выписка из реестра лицензий </w:t>
            </w:r>
            <w:r>
              <w:rPr>
                <w:rFonts w:ascii="Times New Roman" w:hAnsi="Times New Roman" w:cs="Times New Roman" w:eastAsia="Times New Roman"/>
                <w:b/>
                <w:i w:val="false"/>
                <w:color w:val="000000"/>
                <w:sz w:val="20"/>
                <w:szCs w:val="20"/>
              </w:rPr>
              <w:t xml:space="preserve">либо </w:t>
            </w:r>
            <w:r>
              <w:rPr>
                <w:rFonts w:ascii="Times New Roman" w:hAnsi="Times New Roman" w:cs="Times New Roman" w:eastAsia="Times New Roman"/>
                <w:b w:val="false"/>
                <w:i w:val="false"/>
                <w:color w:val="000000"/>
                <w:sz w:val="20"/>
                <w:szCs w:val="20"/>
              </w:rPr>
              <w:t xml:space="preserve">копия акта лицензирующего органа о принятом решении, выданная участнику закупки </w:t>
            </w:r>
            <w:r>
              <w:rPr>
                <w:rFonts w:ascii="Times New Roman" w:hAnsi="Times New Roman" w:cs="Times New Roman" w:eastAsia="Times New Roman"/>
                <w:b/>
                <w:i w:val="false"/>
                <w:color w:val="000000"/>
                <w:sz w:val="20"/>
                <w:szCs w:val="20"/>
              </w:rPr>
              <w:t xml:space="preserve">либо </w:t>
            </w:r>
            <w:r>
              <w:rPr>
                <w:rFonts w:ascii="Times New Roman" w:hAnsi="Times New Roman" w:cs="Times New Roman" w:eastAsia="Times New Roman"/>
                <w:b w:val="false"/>
                <w:i w:val="false"/>
                <w:color w:val="000000"/>
                <w:sz w:val="20"/>
                <w:szCs w:val="20"/>
              </w:rPr>
              <w:t xml:space="preserve">сведения о регистрационном номере лицензии и дате ее предоставления (предоставляется в свободной форме): </w:t>
            </w:r>
            <w:r>
              <w:rPr>
                <w:i w:val="false"/>
              </w:rPr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b w:val="false"/>
                <w:i w:val="false"/>
                <w:color w:val="000000"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false"/>
                <w:i w:val="false"/>
                <w:color w:val="000000"/>
                <w:sz w:val="20"/>
                <w:szCs w:val="20"/>
              </w:rPr>
              <w:t xml:space="preserve">– на осуществление деятельности по</w:t>
            </w:r>
            <w:r>
              <w:rPr>
                <w:rFonts w:ascii="Times New Roman" w:hAnsi="Times New Roman" w:cs="Times New Roman" w:eastAsia="Times New Roman"/>
                <w:b w:val="false"/>
                <w:i w:val="false"/>
                <w:color w:val="000000"/>
                <w:sz w:val="20"/>
                <w:szCs w:val="20"/>
              </w:rPr>
              <w:t xml:space="preserve"> сохранению объектов культурного наследия (памятников истории и культуры) народов Российской Федерации </w:t>
            </w:r>
            <w:r>
              <w:rPr>
                <w:i w:val="false"/>
              </w:rPr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b w:val="false"/>
                <w:i w:val="false"/>
                <w:color w:val="000000"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/>
                <w:i w:val="false"/>
                <w:color w:val="000000"/>
                <w:sz w:val="20"/>
                <w:szCs w:val="20"/>
              </w:rPr>
              <w:t xml:space="preserve">Виды работ (услуг)</w:t>
            </w:r>
            <w:r>
              <w:rPr>
                <w:rFonts w:ascii="Times New Roman" w:hAnsi="Times New Roman" w:cs="Times New Roman" w:eastAsia="Times New Roman"/>
                <w:b w:val="false"/>
                <w:i w:val="false"/>
                <w:color w:val="000000"/>
                <w:sz w:val="20"/>
                <w:szCs w:val="20"/>
              </w:rPr>
              <w:t xml:space="preserve">, выполняемых (оказываемых) в составе лицензируемого вида деятельности: </w:t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t xml:space="preserve">- реставрация, консервация и воссоздание оснований, фундаментов,</w:t>
            </w:r>
            <w:r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t xml:space="preserve"> кладок, ограждающих конструкций и распорных систем; </w:t>
            </w:r>
            <w:r>
              <w:rPr>
                <w:i/>
              </w:rPr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t xml:space="preserve">- реставрация, консервация и воссоздание металлических конструкций и деталей;</w:t>
            </w:r>
            <w:r>
              <w:rPr>
                <w:i/>
              </w:rPr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t xml:space="preserve">- реставрация, консервация и воссоздание деревянных конструкций и деталей; </w:t>
            </w:r>
            <w:r>
              <w:rPr>
                <w:i/>
              </w:rPr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t xml:space="preserve">- реставрация, консервация и воссоздание декоративн</w:t>
            </w:r>
            <w:r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t xml:space="preserve">о-художественных покрасок, штукатурной отделки и архитектурно-лепного декора; </w:t>
            </w:r>
            <w:r>
              <w:rPr>
                <w:i/>
              </w:rPr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t xml:space="preserve">- реставрация, консервация и воссоздание конструкций и деталей из естественного и искусственного камней; </w:t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t xml:space="preserve">- реставрация, консервация и воссоздание исторического ландшафта и произве</w:t>
            </w:r>
            <w:r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t xml:space="preserve">дений садово-паркового искусства; </w:t>
            </w:r>
            <w:r>
              <w:rPr>
                <w:i/>
              </w:rPr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b w:val="false"/>
                <w:i/>
                <w:color w:val="000000"/>
                <w:sz w:val="20"/>
                <w:szCs w:val="20"/>
              </w:rPr>
              <w:t xml:space="preserve">- ремонт и приспособление объектов культурного наследия (памятников истории и культуры) народов Российской Федерации</w:t>
            </w:r>
            <w:r>
              <w:rPr>
                <w:rFonts w:ascii="Times New Roman" w:hAnsi="Times New Roman" w:cs="Times New Roman" w:eastAsia="Times New Roman"/>
                <w:b w:val="false"/>
                <w:i/>
                <w:color w:val="0070C0"/>
                <w:sz w:val="20"/>
                <w:szCs w:val="20"/>
              </w:rPr>
              <w:t xml:space="preserve">.</w:t>
            </w:r>
            <w:r>
              <w:rPr>
                <w:b w:val="false"/>
                <w:i/>
              </w:rPr>
            </w:r>
            <w:r/>
          </w:p>
          <w:p>
            <w:pPr>
              <w:contextualSpacing w:val="true"/>
              <w:ind w:left="709"/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color w:val="0070C0"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color w:val="0070C0"/>
                <w:sz w:val="20"/>
                <w:szCs w:val="20"/>
              </w:rPr>
            </w:r>
            <w:r/>
          </w:p>
          <w:p>
            <w:pPr>
              <w:contextualSpacing w:val="true"/>
              <w:jc w:val="both"/>
              <w:spacing w:lineRule="auto" w:line="240" w:after="0"/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pBdr>
                <w:left w:val="none" w:color="000000" w:sz="4" w:space="0"/>
                <w:top w:val="none" w:color="000000" w:sz="4" w:space="0"/>
                <w:right w:val="none" w:color="000000" w:sz="4" w:space="0"/>
                <w:bottom w:val="none" w:color="000000" w:sz="4" w:space="0"/>
              </w:pBd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t xml:space="preserve">2)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Подтверждением, что участник закупки является членом саморегулируемой организации является наличие информации о нём в едином реестре о членах саморегулируемых организаций и их обязательствах</w:t>
            </w:r>
            <w:r>
              <w:rPr>
                <w:rFonts w:ascii="Times New Roman" w:hAnsi="Times New Roman" w:cs="Times New Roman" w:eastAsia="Times New Roman"/>
                <w:b/>
                <w:sz w:val="20"/>
                <w:szCs w:val="20"/>
              </w:rPr>
              <w:t xml:space="preserve">.</w:t>
            </w:r>
            <w:r/>
          </w:p>
          <w:p>
            <w:pPr>
              <w:jc w:val="both"/>
              <w:spacing w:lineRule="atLeast" w:line="220"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</w:r>
            <w:r/>
          </w:p>
          <w:p>
            <w:pPr>
              <w:jc w:val="both"/>
              <w:spacing w:lineRule="atLeast" w:line="220" w:after="0"/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Соответствие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участника закупки дополнительным требованиям, установленным в соответствии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с </w:t>
            </w:r>
            <w:hyperlink w:tooltip="#P795" w:anchor="P795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час</w:t>
              </w:r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тью</w:t>
              </w:r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 2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татьи 31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Федерального закона № 44-ФЗ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:</w:t>
            </w:r>
            <w:r/>
          </w:p>
          <w:p>
            <w:pPr>
              <w:jc w:val="both"/>
              <w:spacing w:lineRule="atLeast" w:line="220" w:after="0"/>
            </w:pPr>
            <w:r>
              <w:rPr>
                <w:rFonts w:ascii="Times New Roman" w:hAnsi="Times New Roman" w:cs="Times New Roman" w:eastAsia="Courier New"/>
                <w:sz w:val="20"/>
                <w:szCs w:val="20"/>
                <w:u w:val="single"/>
              </w:rPr>
              <w:t xml:space="preserve">В соответствии с </w:t>
            </w:r>
            <w:r>
              <w:rPr>
                <w:rFonts w:ascii="Times New Roman" w:hAnsi="Times New Roman" w:cs="Times New Roman" w:eastAsia="Courier New"/>
                <w:b/>
                <w:color w:val="0070C0"/>
                <w:sz w:val="20"/>
                <w:szCs w:val="20"/>
                <w:u w:val="single"/>
              </w:rPr>
              <w:t xml:space="preserve">п</w:t>
            </w:r>
            <w:r>
              <w:rPr>
                <w:rFonts w:ascii="Times New Roman" w:hAnsi="Times New Roman" w:cs="Times New Roman" w:eastAsia="Courier New"/>
                <w:b/>
                <w:color w:val="0070C0"/>
                <w:sz w:val="20"/>
                <w:szCs w:val="20"/>
                <w:u w:val="single"/>
              </w:rPr>
              <w:t xml:space="preserve">.</w:t>
            </w:r>
            <w:r>
              <w:rPr>
                <w:rFonts w:ascii="Times New Roman" w:hAnsi="Times New Roman" w:cs="Times New Roman" w:eastAsia="Courier New"/>
                <w:b/>
                <w:color w:val="0070C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b/>
                <w:color w:val="0070C0"/>
                <w:sz w:val="20"/>
                <w:szCs w:val="20"/>
                <w:u w:val="single"/>
              </w:rPr>
              <w:t xml:space="preserve">1</w:t>
            </w:r>
            <w:r>
              <w:rPr>
                <w:rFonts w:ascii="Times New Roman" w:hAnsi="Times New Roman" w:cs="Times New Roman" w:eastAsia="Courier New"/>
                <w:color w:val="0070C0"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  <w:u w:val="single"/>
              </w:rPr>
              <w:t xml:space="preserve">приложения Постановления Правительства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  <w:u w:val="single"/>
              </w:rPr>
              <w:t xml:space="preserve">от 29.12.2021 № 2571</w:t>
            </w:r>
            <w:r/>
          </w:p>
          <w:p>
            <w:pPr>
              <w:jc w:val="both"/>
              <w:spacing w:lineRule="atLeast" w:line="220" w:after="0"/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</w:r>
            <w:r/>
          </w:p>
          <w:p>
            <w:pPr>
              <w:jc w:val="both"/>
              <w:spacing w:lineRule="auto" w:line="240" w:after="0"/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Наличие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за 5 лет до дня окончания подачи заявок на участие в закупке с учетом правопреемства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(в случае наличия подтверждающего документа)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у участника закупки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следующего опыта выполнения работ:</w:t>
            </w:r>
            <w:r/>
          </w:p>
          <w:p>
            <w:pPr>
              <w:jc w:val="both"/>
              <w:spacing w:lineRule="auto" w:line="240" w:after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опыт исполнения участником закупки договора, предусматривающего выполнение работ по сохранению объектов культурного наследия, при которых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затрагиваются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конструктивные и другие характеристики надежности и безопасности таких объектов.</w:t>
            </w:r>
            <w:r/>
          </w:p>
          <w:p>
            <w:pPr>
              <w:jc w:val="both"/>
              <w:spacing w:lineRule="auto" w:line="240" w:after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Цена выполненных работ по договору должна составлять </w:t>
            </w:r>
            <w:r>
              <w:rPr>
                <w:rFonts w:ascii="Times New Roman" w:hAnsi="Times New Roman" w:cs="Times New Roman"/>
                <w:b/>
                <w:color w:val="002060"/>
                <w:sz w:val="20"/>
                <w:szCs w:val="20"/>
              </w:rPr>
              <w:t xml:space="preserve">не менее 20 процентов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начальной (максимальной) цены контракта, заключаемого по результатам определения поставщика (подрядчика, исполнителя)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.</w:t>
            </w:r>
            <w:r/>
          </w:p>
          <w:p>
            <w:pPr>
              <w:jc w:val="both"/>
              <w:spacing w:lineRule="atLeast" w:line="220" w:after="0"/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</w:r>
            <w:r/>
          </w:p>
          <w:p>
            <w:pPr>
              <w:jc w:val="both"/>
              <w:spacing w:lineRule="atLeast" w:line="220" w:after="0"/>
            </w:pPr>
            <w:r>
              <w:rPr>
                <w:rFonts w:ascii="Times New Roman" w:hAnsi="Times New Roman" w:cs="Times New Roman" w:eastAsia="Courier New"/>
                <w:b/>
                <w:bCs/>
                <w:sz w:val="20"/>
                <w:szCs w:val="20"/>
              </w:rPr>
              <w:t xml:space="preserve">Информация и документы, подтверждающие соответствие участников закупки дополнительным требованиям:</w:t>
            </w:r>
            <w:r/>
          </w:p>
          <w:p>
            <w:pPr>
              <w:jc w:val="both"/>
              <w:spacing w:lineRule="auto" w:line="240" w:after="0"/>
              <w:rPr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исполненный догово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р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.</w:t>
            </w: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 xml:space="preserve"> </w:t>
            </w:r>
            <w:r>
              <w:rPr>
                <w:highlight w:val="white"/>
              </w:rPr>
            </w:r>
            <w:r/>
          </w:p>
          <w:p>
            <w:pPr>
              <w:jc w:val="both"/>
              <w:spacing w:lineRule="auto" w:line="240" w:after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акт выполненных работ, подтверждающий цену выполненных работ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(должен быть подписан не ранее чем за 5 лет до дня окончания срока подачи заявок на участие в закупке)</w:t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акт приемки выполненных работ по сохранен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ию объекта культурного наследия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(должен быть подписан не ранее чем за 5 лет до дня окончания срока подачи заявок на участие в закупке)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  <w:p>
            <w:pPr>
              <w:jc w:val="both"/>
              <w:spacing w:lineRule="auto" w:line="240" w:after="0"/>
              <w:tabs>
                <w:tab w:val="left" w:pos="6732" w:leader="none"/>
              </w:tabs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4) разрешение на ввод объекта капитального строительства в эксплуатацию</w:t>
            </w:r>
            <w: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(за исключением случаев, при которых такое разрешение не выдается в соответствии с законодательством о градостроительной деятельности)</w:t>
            </w:r>
            <w:r/>
          </w:p>
          <w:p>
            <w:pPr>
              <w:jc w:val="both"/>
              <w:spacing w:lineRule="auto" w:line="240" w:after="0"/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*При исполнении договоров</w:t>
            </w: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исполнителем должны быть исполнены требования об уплате неустоек (штрафов, пеней) (в случае их начисления)</w:t>
            </w: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*Цено</w:t>
            </w:r>
            <w:r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й оказанных услуг по договору считается общая цена (сумма цен) услуг, указанная в акте (актах) приемки оказанных услуг. Если при исполнении такого договора составлено несколько актов приемки оказанных услуг, участниками закупки направляются все такие акты.</w:t>
            </w:r>
            <w:r/>
          </w:p>
          <w:p>
            <w:pPr>
              <w:jc w:val="both"/>
              <w:rPr>
                <w:rFonts w:ascii="Times New Roman" w:hAnsi="Times New Roman" w:cs="Times New Roman" w:eastAsia="Courier New"/>
                <w:color w:val="0070C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*Если информация и документы, подтверждающие соответствие участников закупки дополнительным требованиям, содержатся в открытых и общедоступных государственных реестрах, размещенных в информационно-телекоммуникационной сети "</w:t>
            </w:r>
            <w:bookmarkStart w:id="0" w:name="undefined"/>
            <w:r/>
            <w:bookmarkEnd w:id="0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Интернет", в том числе ведение которых осуществляется в единой информационной системе в сфере закупок с размещением на официальном сайте единой инфор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мационной системы в информационно-телекоммуникационной сети "Интернет" таких документов, вместо направления таких документов участник закупки вправе направить в соответствии с Федеральным законом № 44-ФЗ номер реестровой записи из соответствующего реестра.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br/>
              <w:t xml:space="preserve">*В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участниками закупки, подтверждающи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х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соответствие участников закупки дополнительным требованиям, приоритет имеет информация, содержащаяся в единой информационной системе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 w:eastAsia="Courier New"/>
                <w:b/>
                <w:bCs/>
                <w:color w:val="0070C0"/>
                <w:u w:val="single"/>
              </w:rPr>
            </w:r>
            <w:r/>
          </w:p>
          <w:p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-документы, подтверждающие соответствие участника закупки дополнительным требованиям, установленным в соответствии 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с </w:t>
            </w:r>
            <w:hyperlink w:tooltip="#P795" w:anchor="P795" w:history="1">
              <w:r>
                <w:rPr>
                  <w:rFonts w:ascii="Times New Roman" w:hAnsi="Times New Roman" w:cs="Times New Roman" w:eastAsia="Courier New"/>
                  <w:b/>
                  <w:sz w:val="20"/>
                  <w:szCs w:val="20"/>
                </w:rPr>
                <w:t xml:space="preserve">частью</w:t>
              </w:r>
            </w:hyperlink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 </w:t>
            </w:r>
            <w:hyperlink w:tooltip="#P801" w:anchor="P801" w:history="1">
              <w:r>
                <w:rPr>
                  <w:rFonts w:ascii="Times New Roman" w:hAnsi="Times New Roman" w:cs="Times New Roman" w:eastAsia="Courier New"/>
                  <w:b/>
                  <w:sz w:val="20"/>
                  <w:szCs w:val="20"/>
                </w:rPr>
                <w:t xml:space="preserve">2.1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(при наличии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таких требований) статьи 31 Федерального закона № 44-ФЗ, если иное не предусмотрено Федеральным законом № 44-ФЗ 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  <w:u w:val="single"/>
              </w:rPr>
              <w:t xml:space="preserve">- не установлено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1.1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4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Декларация о соответствии участника закупки требованиям, установленным </w:t>
            </w:r>
            <w:hyperlink w:tooltip="#P777" w:anchor="P777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пунктами 3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- </w:t>
            </w:r>
            <w:hyperlink w:tooltip="#P780" w:anchor="P780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5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, </w:t>
            </w:r>
            <w:hyperlink w:tooltip="#P782" w:anchor="P782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7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- </w:t>
            </w:r>
            <w:hyperlink w:tooltip="#P791" w:anchor="P791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11 части 1 статьи 31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Федерального закона № 44-ФЗ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1.1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5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выполненной работы (ее результатов), оказанной услуги, а также отдель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                      </w:t>
            </w:r>
            <w:r/>
          </w:p>
        </w:tc>
      </w:tr>
      <w:tr>
        <w:trPr/>
        <w:tc>
          <w:tcPr>
            <w:tcW w:w="1055" w:type="dxa"/>
            <w:textDirection w:val="lrTb"/>
            <w:noWrap w:val="false"/>
          </w:tcPr>
          <w:p>
            <w:pPr>
              <w:jc w:val="both"/>
              <w:spacing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1.16</w:t>
            </w:r>
            <w:r/>
          </w:p>
        </w:tc>
        <w:tc>
          <w:tcPr>
            <w:tcW w:w="9545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Заказчиком установлен критерий оценки заявок «Квалификация участников закупки, в том числе наличие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</w:t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Заявка на участие в закупке может содержать документы, подтверждающие квалификацию участника закупки.</w:t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Документы, подтверждающие квалификацию участника закупки, указаны в электронном документе Извещени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 осуществлении закупки «Порядок рассмотрения и оценки заявок на участие в конкурсах в соответствии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Федеральным законом № 44-ФЗ».</w:t>
            </w:r>
            <w:r/>
          </w:p>
          <w:p>
            <w:pPr>
              <w:jc w:val="both"/>
              <w:spacing w:lineRule="auto" w:line="240"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*Отсутствие таких документов не является основанием для признания заявки не соответствующей требованиям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Федерального закона № 44-ФЗ.</w:t>
            </w:r>
            <w:r/>
          </w:p>
        </w:tc>
      </w:tr>
      <w:tr>
        <w:trPr>
          <w:trHeight w:val="975"/>
        </w:trPr>
        <w:tc>
          <w:tcPr>
            <w:gridSpan w:val="2"/>
            <w:tcW w:w="10600" w:type="dxa"/>
            <w:textDirection w:val="lrTb"/>
            <w:noWrap w:val="false"/>
          </w:tcPr>
          <w:p>
            <w:pPr>
              <w:jc w:val="both"/>
              <w:spacing w:lineRule="atLeast" w:line="220"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Документы (предусмотренные подпунктом 1.13 пункта 1), подтверждающие соответствие участника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закупки дополнительным требованиям, установленным в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соответствии с частью 2 или 2.1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(при наличии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таких требований) статьи 31 Федерального закона № 44-ФЗ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не включаются участником закупки в заявку на участие в закупке. Такие документы направляются (по состоянию на дату и время их направления) заказчику оператором электронной площадки из реестра участников закупок, аккредитованных на электронной площадке;</w:t>
            </w:r>
            <w:r/>
          </w:p>
        </w:tc>
      </w:tr>
      <w:tr>
        <w:trPr>
          <w:trHeight w:val="309"/>
        </w:trPr>
        <w:tc>
          <w:tcPr>
            <w:gridSpan w:val="2"/>
            <w:tcW w:w="10600" w:type="dxa"/>
            <w:vAlign w:val="center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Courier New"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2. Предложение участника заку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пки в отношении объекта закупки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– </w:t>
            </w:r>
            <w:r>
              <w:rPr>
                <w:rFonts w:ascii="Times New Roman" w:hAnsi="Times New Roman" w:cs="Times New Roman" w:eastAsia="Courier New"/>
                <w:b/>
                <w:bCs/>
                <w:sz w:val="20"/>
                <w:szCs w:val="20"/>
                <w:u w:val="single"/>
              </w:rPr>
              <w:t xml:space="preserve">не установлено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/>
          </w:p>
        </w:tc>
      </w:tr>
      <w:tr>
        <w:trPr>
          <w:trHeight w:val="329"/>
        </w:trPr>
        <w:tc>
          <w:tcPr>
            <w:gridSpan w:val="2"/>
            <w:tcW w:w="10600" w:type="dxa"/>
            <w:vAlign w:val="center"/>
            <w:textDirection w:val="lrTb"/>
            <w:noWrap w:val="false"/>
          </w:tcPr>
          <w:p>
            <w:pPr>
              <w:spacing w:lineRule="auto" w:line="240" w:after="0"/>
              <w:rPr>
                <w:rFonts w:ascii="Times New Roman" w:hAnsi="Times New Roman" w:cs="Times New Roman" w:eastAsia="Courier New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 w:eastAsia="Courier New"/>
                <w:bCs/>
                <w:sz w:val="20"/>
                <w:szCs w:val="20"/>
              </w:rPr>
              <w:t xml:space="preserve">3. </w:t>
            </w:r>
            <w:r>
              <w:rPr>
                <w:rFonts w:ascii="Times New Roman" w:hAnsi="Times New Roman" w:cs="Times New Roman" w:eastAsia="Courier New"/>
                <w:b/>
                <w:bCs/>
                <w:sz w:val="20"/>
                <w:szCs w:val="20"/>
              </w:rPr>
              <w:t xml:space="preserve">Предложение участника закупки о цене контракта</w:t>
            </w:r>
            <w:r>
              <w:rPr>
                <w:rFonts w:ascii="Times New Roman" w:hAnsi="Times New Roman" w:cs="Times New Roman" w:eastAsia="Courier New"/>
                <w:bCs/>
                <w:sz w:val="20"/>
                <w:szCs w:val="20"/>
              </w:rPr>
              <w:t xml:space="preserve"> </w:t>
            </w:r>
            <w:r/>
          </w:p>
        </w:tc>
      </w:tr>
      <w:tr>
        <w:trPr/>
        <w:tc>
          <w:tcPr>
            <w:gridSpan w:val="2"/>
            <w:tcW w:w="10600" w:type="dxa"/>
            <w:textDirection w:val="lrTb"/>
            <w:noWrap w:val="false"/>
          </w:tcPr>
          <w:p>
            <w:pPr>
              <w:jc w:val="both"/>
              <w:spacing w:lineRule="auto" w:line="240" w:after="0"/>
              <w:rPr>
                <w:rFonts w:ascii="Times New Roman" w:hAnsi="Times New Roman" w:cs="Times New Roman" w:eastAsia="Courier New"/>
                <w:b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Информация и документы, предусмотренные нормативными правовыми актами, принятыми в соответствии с </w:t>
            </w:r>
            <w:hyperlink w:tooltip="#P293" w:anchor="P293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частями 3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и </w:t>
            </w:r>
            <w:hyperlink w:tooltip="#P295" w:anchor="P295" w:history="1">
              <w:r>
                <w:rPr>
                  <w:rFonts w:ascii="Times New Roman" w:hAnsi="Times New Roman" w:cs="Times New Roman" w:eastAsia="Courier New"/>
                  <w:sz w:val="20"/>
                  <w:szCs w:val="20"/>
                </w:rPr>
                <w:t xml:space="preserve">4 статьи 14</w:t>
              </w:r>
            </w:hyperlink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sz w:val="20"/>
                <w:szCs w:val="20"/>
              </w:rPr>
              <w:t xml:space="preserve">Федерального закона № 44-ФЗ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 w:eastAsia="Courier New"/>
                <w:b/>
                <w:sz w:val="20"/>
                <w:szCs w:val="20"/>
                <w:u w:val="single"/>
              </w:rPr>
              <w:t xml:space="preserve">- не установлено</w:t>
            </w:r>
            <w:r/>
          </w:p>
        </w:tc>
      </w:tr>
    </w:tbl>
    <w:p>
      <w:pPr>
        <w:spacing w:lineRule="auto" w:line="240" w:after="0"/>
        <w:rPr>
          <w:rFonts w:ascii="Times New Roman" w:hAnsi="Times New Roman" w:cs="Times New Roman" w:eastAsia="Calibri"/>
          <w:b/>
          <w:sz w:val="20"/>
          <w:szCs w:val="20"/>
          <w:lang w:eastAsia="en-US"/>
        </w:rPr>
      </w:pPr>
      <w:r>
        <w:rPr>
          <w:rFonts w:ascii="Times New Roman" w:hAnsi="Times New Roman" w:cs="Times New Roman" w:eastAsia="Calibri"/>
          <w:b/>
          <w:sz w:val="20"/>
          <w:szCs w:val="20"/>
          <w:lang w:eastAsia="en-US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 w:eastAsia="Calibri"/>
          <w:b/>
          <w:sz w:val="20"/>
          <w:szCs w:val="20"/>
          <w:lang w:eastAsia="en-US"/>
        </w:rPr>
      </w:pPr>
      <w:r>
        <w:rPr>
          <w:rFonts w:ascii="Times New Roman" w:hAnsi="Times New Roman" w:cs="Times New Roman" w:eastAsia="Calibri"/>
          <w:b/>
          <w:sz w:val="20"/>
          <w:szCs w:val="20"/>
          <w:lang w:eastAsia="en-US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 w:eastAsia="Calibri"/>
          <w:b/>
          <w:sz w:val="20"/>
          <w:szCs w:val="20"/>
          <w:lang w:eastAsia="en-US"/>
        </w:rPr>
      </w:pPr>
      <w:r>
        <w:rPr>
          <w:rFonts w:ascii="Times New Roman" w:hAnsi="Times New Roman" w:cs="Times New Roman" w:eastAsia="Calibri"/>
          <w:b/>
          <w:sz w:val="20"/>
          <w:szCs w:val="20"/>
          <w:lang w:eastAsia="en-US"/>
        </w:rPr>
      </w:r>
      <w:r/>
    </w:p>
    <w:p>
      <w:pPr>
        <w:jc w:val="center"/>
        <w:spacing w:lineRule="auto" w:line="240" w:after="0"/>
        <w:rPr>
          <w:rFonts w:ascii="Times New Roman" w:hAnsi="Times New Roman" w:cs="Times New Roman" w:eastAsia="Calibri"/>
          <w:b/>
          <w:sz w:val="20"/>
          <w:szCs w:val="20"/>
          <w:lang w:eastAsia="en-US"/>
        </w:rPr>
      </w:pPr>
      <w:r>
        <w:rPr>
          <w:rFonts w:ascii="Times New Roman" w:hAnsi="Times New Roman" w:cs="Times New Roman" w:eastAsia="Calibri"/>
          <w:b/>
          <w:sz w:val="20"/>
          <w:szCs w:val="20"/>
          <w:lang w:eastAsia="en-US"/>
        </w:rPr>
        <w:t xml:space="preserve">Инструкция по заполнению заявки на участие в закупке</w:t>
      </w:r>
      <w:r/>
    </w:p>
    <w:p>
      <w:pPr>
        <w:jc w:val="center"/>
        <w:spacing w:lineRule="auto" w:line="240" w:after="0"/>
        <w:rPr>
          <w:rFonts w:ascii="Times New Roman" w:hAnsi="Times New Roman" w:cs="Times New Roman" w:eastAsia="Calibri"/>
          <w:b/>
          <w:sz w:val="20"/>
          <w:szCs w:val="20"/>
          <w:lang w:eastAsia="en-US"/>
        </w:rPr>
      </w:pPr>
      <w:r>
        <w:rPr>
          <w:rFonts w:ascii="Times New Roman" w:hAnsi="Times New Roman" w:cs="Times New Roman" w:eastAsia="Calibri"/>
          <w:b/>
          <w:sz w:val="20"/>
          <w:szCs w:val="20"/>
          <w:lang w:eastAsia="en-US"/>
        </w:rPr>
        <w:t xml:space="preserve">в соответствии с Федеральным законом №44-ФЗ</w:t>
      </w:r>
      <w:r/>
    </w:p>
    <w:p>
      <w:pPr>
        <w:jc w:val="both"/>
        <w:spacing w:lineRule="auto" w:line="240" w:after="0"/>
        <w:rPr>
          <w:rFonts w:ascii="Times New Roman" w:hAnsi="Times New Roman" w:cs="Times New Roman" w:eastAsia="Calibri"/>
          <w:bCs/>
          <w:sz w:val="20"/>
          <w:szCs w:val="20"/>
          <w:lang w:eastAsia="en-US"/>
        </w:rPr>
      </w:pPr>
      <w:r>
        <w:rPr>
          <w:rFonts w:ascii="Times New Roman" w:hAnsi="Times New Roman" w:cs="Times New Roman" w:eastAsia="Calibri"/>
          <w:bCs/>
          <w:sz w:val="20"/>
          <w:szCs w:val="20"/>
          <w:lang w:eastAsia="en-US"/>
        </w:rPr>
      </w:r>
      <w:r/>
    </w:p>
    <w:p>
      <w:pPr>
        <w:ind w:firstLine="709"/>
        <w:jc w:val="both"/>
        <w:spacing w:lineRule="auto" w:line="240"/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  <w:t xml:space="preserve">1. Подать за</w:t>
      </w:r>
      <w:r>
        <w:rPr>
          <w:rFonts w:ascii="Times New Roman" w:hAnsi="Times New Roman" w:cs="Times New Roman" w:eastAsia="Courier New"/>
          <w:sz w:val="20"/>
          <w:szCs w:val="20"/>
        </w:rPr>
        <w:t xml:space="preserve">явку на участие в закупке вправе только зарегистрированный в единой информационной системе и аккредитованный на электронной площадке участник закупки путем направления такой заявки в соответствии с Федеральным законом №44-ФЗ оператору электронной площадки;</w:t>
      </w:r>
      <w:r/>
    </w:p>
    <w:p>
      <w:pPr>
        <w:ind w:firstLine="709"/>
        <w:jc w:val="both"/>
        <w:spacing w:lineRule="auto" w:line="240"/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  <w:t xml:space="preserve">2.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 до</w:t>
      </w:r>
      <w:r>
        <w:rPr>
          <w:rFonts w:ascii="Times New Roman" w:hAnsi="Times New Roman" w:cs="Times New Roman" w:eastAsia="Courier New"/>
          <w:sz w:val="20"/>
          <w:szCs w:val="20"/>
        </w:rPr>
        <w:t xml:space="preserve"> </w:t>
      </w:r>
      <w:r>
        <w:rPr>
          <w:rFonts w:ascii="Times New Roman" w:hAnsi="Times New Roman" w:cs="Times New Roman" w:eastAsia="Courier New"/>
          <w:sz w:val="20"/>
          <w:szCs w:val="20"/>
        </w:rPr>
        <w:t xml:space="preserve">окончания установленного в соответствии с Федеральным законом №44-ФЗ срока подачи заявок на участие в закупке.</w:t>
      </w:r>
      <w:r/>
    </w:p>
    <w:p>
      <w:pPr>
        <w:ind w:firstLine="709"/>
        <w:jc w:val="both"/>
        <w:spacing w:lineRule="atLeast" w:line="220" w:after="1" w:before="220"/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  <w:t xml:space="preserve">3. Подача заявки на </w:t>
      </w:r>
      <w:r>
        <w:rPr>
          <w:rFonts w:ascii="Times New Roman" w:hAnsi="Times New Roman" w:cs="Times New Roman" w:eastAsia="Courier New"/>
          <w:sz w:val="20"/>
          <w:szCs w:val="20"/>
        </w:rPr>
        <w:t xml:space="preserve">участие в закупке означает согласие участника закупки, подавшего такую заявку, на выполнение работы, оказание услуги на условиях, предусмотренных извещением об осуществлении закупки, и в соответствии с заявкой такого участника закупки на участие в закупке.</w:t>
      </w:r>
      <w:r/>
    </w:p>
    <w:p>
      <w:pPr>
        <w:ind w:firstLine="709"/>
        <w:jc w:val="both"/>
        <w:spacing w:after="0"/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</w:r>
      <w:r/>
    </w:p>
    <w:p>
      <w:pPr>
        <w:ind w:firstLine="709"/>
        <w:jc w:val="both"/>
        <w:spacing w:after="0"/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  <w:t xml:space="preserve">4. Заявка на участие в закупке должн</w:t>
      </w:r>
      <w:r>
        <w:rPr>
          <w:rFonts w:ascii="Times New Roman" w:hAnsi="Times New Roman" w:cs="Times New Roman" w:eastAsia="Courier New"/>
          <w:sz w:val="20"/>
          <w:szCs w:val="20"/>
        </w:rPr>
        <w:t xml:space="preserve">а быть заполнена на русском языке. Отдельные документы (или их части), предоставленные участником закупки в составе заявки на участие в закупке, могут быть подготовлены на другом языке при условии, что к ним будет прилагаться точный перевод необходимых раз</w:t>
      </w:r>
      <w:r>
        <w:rPr>
          <w:rFonts w:ascii="Times New Roman" w:hAnsi="Times New Roman" w:cs="Times New Roman" w:eastAsia="Courier New"/>
          <w:sz w:val="20"/>
          <w:szCs w:val="20"/>
        </w:rPr>
        <w:t xml:space="preserve">делов на русский язык. Удостоверение верности перевода с иностранного языка на русский язык осуществляется в соответствии со статьей 81 Основ законодательства Российской Федерации о нотариате, утвержденных Верховным Советом РФ 11 февраля 1993 года № 4462-1</w:t>
      </w:r>
      <w:r/>
    </w:p>
    <w:p>
      <w:pPr>
        <w:ind w:firstLine="709"/>
        <w:jc w:val="both"/>
        <w:spacing w:after="0"/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</w:r>
      <w:r/>
    </w:p>
    <w:p>
      <w:pPr>
        <w:ind w:firstLine="709"/>
        <w:jc w:val="both"/>
        <w:widowControl w:val="off"/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  <w:t xml:space="preserve">5. При оформлении заявки участникам следует использовать общепринятые обозначения и наименования в соответствии с требованиями действующих нормативных актов. Сведения, которые содержатся в заявке, не должны допускать двусмысленных толкований. </w:t>
      </w:r>
      <w:r/>
    </w:p>
    <w:p>
      <w:pPr>
        <w:contextualSpacing w:val="true"/>
        <w:ind w:firstLine="709"/>
        <w:jc w:val="both"/>
        <w:spacing w:lineRule="auto" w:line="240" w:after="0"/>
        <w:tabs>
          <w:tab w:val="left" w:pos="567" w:leader="none"/>
        </w:tabs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  <w:t xml:space="preserve">6. Все документы, входящие в состав заявки на участие в закупке, должны иметь четко читаемый текст.</w:t>
      </w:r>
      <w:r/>
    </w:p>
    <w:p>
      <w:pPr>
        <w:contextualSpacing w:val="true"/>
        <w:ind w:firstLine="709"/>
        <w:jc w:val="both"/>
        <w:spacing w:lineRule="auto" w:line="240" w:after="0"/>
        <w:tabs>
          <w:tab w:val="left" w:pos="567" w:leader="none"/>
        </w:tabs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</w:r>
      <w:r/>
    </w:p>
    <w:p>
      <w:pPr>
        <w:contextualSpacing w:val="true"/>
        <w:ind w:firstLine="709"/>
        <w:jc w:val="both"/>
        <w:spacing w:lineRule="auto" w:line="240" w:after="0"/>
        <w:tabs>
          <w:tab w:val="left" w:pos="567" w:leader="none"/>
        </w:tabs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  <w:t xml:space="preserve">7. Ответственность за достоверность сведений, указанных в заявке, несет участник закупки.</w:t>
      </w:r>
      <w:r/>
    </w:p>
    <w:p>
      <w:pPr>
        <w:contextualSpacing w:val="true"/>
        <w:ind w:firstLine="709"/>
        <w:jc w:val="both"/>
        <w:spacing w:lineRule="auto" w:line="240" w:after="0"/>
        <w:tabs>
          <w:tab w:val="left" w:pos="567" w:leader="none"/>
        </w:tabs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sz w:val="20"/>
          <w:szCs w:val="20"/>
        </w:rPr>
      </w:r>
      <w:r/>
    </w:p>
    <w:p>
      <w:pPr>
        <w:ind w:firstLine="709"/>
        <w:jc w:val="both"/>
        <w:spacing w:lineRule="auto" w:line="240"/>
        <w:rPr>
          <w:rFonts w:ascii="Times New Roman" w:hAnsi="Times New Roman" w:cs="Times New Roman" w:eastAsia="Courier New"/>
          <w:sz w:val="20"/>
          <w:szCs w:val="20"/>
        </w:rPr>
      </w:pPr>
      <w:r>
        <w:rPr>
          <w:rFonts w:ascii="Times New Roman" w:hAnsi="Times New Roman" w:cs="Times New Roman" w:eastAsia="Courier New"/>
          <w:color w:val="538135" w:themeColor="accent6" w:themeShade="BF"/>
          <w:sz w:val="20"/>
          <w:szCs w:val="20"/>
        </w:rPr>
        <w:t xml:space="preserve"> </w:t>
      </w:r>
      <w:r/>
    </w:p>
    <w:sectPr>
      <w:footerReference w:type="default" r:id="rId9"/>
      <w:footnotePr/>
      <w:endnotePr/>
      <w:type w:val="nextPage"/>
      <w:pgSz w:w="11900" w:h="16840" w:orient="portrait"/>
      <w:pgMar w:top="851" w:right="800" w:bottom="500" w:left="800" w:header="720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right"/>
    </w:pPr>
    <w:r>
      <w:fldChar w:fldCharType="begin"/>
    </w:r>
    <w:r>
      <w:instrText xml:space="preserve">PAGE</w:instrText>
    </w:r>
    <w:r>
      <w:fldChar w:fldCharType="separate"/>
    </w:r>
    <w:r>
      <w:t xml:space="preserve">4</w:t>
    </w:r>
    <w:r>
      <w:fldChar w:fldCharType="end"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 w:hint="default"/>
      </w:rPr>
    </w:lvl>
  </w:abstractNum>
  <w:abstractNum w:abstractNumId="2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cs="Arial" w:eastAsia="Aria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cs="Courier New" w:eastAsia="Courier New" w:hint="default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cs="Wingdings" w:eastAsia="Wingdings" w:hint="default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cs="Symbol" w:eastAsia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cs="Courier New" w:eastAsia="Courier New" w:hint="default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cs="Wingdings" w:eastAsia="Wingdings" w:hint="default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cs="Symbol" w:eastAsia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cs="Courier New" w:eastAsia="Courier New" w:hint="default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cs="Wingdings" w:eastAsia="Wingdings"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ru-RU" w:bidi="ar-SA" w:eastAsia="ru-RU"/>
      </w:rPr>
    </w:rPrDefault>
    <w:pPrDefault>
      <w:pPr>
        <w:ind w:left="0" w:right="0" w:firstLine="0"/>
        <w:jc w:val="left"/>
        <w:spacing w:lineRule="auto" w:line="259" w:after="16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475">
    <w:name w:val="Heading 1"/>
    <w:basedOn w:val="648"/>
    <w:next w:val="648"/>
    <w:link w:val="476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476">
    <w:name w:val="Heading 1 Char"/>
    <w:basedOn w:val="649"/>
    <w:link w:val="475"/>
    <w:uiPriority w:val="9"/>
    <w:rPr>
      <w:rFonts w:ascii="Arial" w:hAnsi="Arial" w:cs="Arial" w:eastAsia="Arial"/>
      <w:sz w:val="40"/>
      <w:szCs w:val="40"/>
    </w:rPr>
  </w:style>
  <w:style w:type="paragraph" w:styleId="477">
    <w:name w:val="Heading 2"/>
    <w:basedOn w:val="648"/>
    <w:next w:val="648"/>
    <w:link w:val="478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478">
    <w:name w:val="Heading 2 Char"/>
    <w:basedOn w:val="649"/>
    <w:link w:val="477"/>
    <w:uiPriority w:val="9"/>
    <w:rPr>
      <w:rFonts w:ascii="Arial" w:hAnsi="Arial" w:cs="Arial" w:eastAsia="Arial"/>
      <w:sz w:val="34"/>
    </w:rPr>
  </w:style>
  <w:style w:type="paragraph" w:styleId="479">
    <w:name w:val="Heading 3"/>
    <w:basedOn w:val="648"/>
    <w:next w:val="648"/>
    <w:link w:val="48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480">
    <w:name w:val="Heading 3 Char"/>
    <w:basedOn w:val="649"/>
    <w:link w:val="479"/>
    <w:uiPriority w:val="9"/>
    <w:rPr>
      <w:rFonts w:ascii="Arial" w:hAnsi="Arial" w:cs="Arial" w:eastAsia="Arial"/>
      <w:sz w:val="30"/>
      <w:szCs w:val="30"/>
    </w:rPr>
  </w:style>
  <w:style w:type="paragraph" w:styleId="481">
    <w:name w:val="Heading 4"/>
    <w:basedOn w:val="648"/>
    <w:next w:val="648"/>
    <w:link w:val="48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482">
    <w:name w:val="Heading 4 Char"/>
    <w:basedOn w:val="649"/>
    <w:link w:val="481"/>
    <w:uiPriority w:val="9"/>
    <w:rPr>
      <w:rFonts w:ascii="Arial" w:hAnsi="Arial" w:cs="Arial" w:eastAsia="Arial"/>
      <w:b/>
      <w:bCs/>
      <w:sz w:val="26"/>
      <w:szCs w:val="26"/>
    </w:rPr>
  </w:style>
  <w:style w:type="paragraph" w:styleId="483">
    <w:name w:val="Heading 5"/>
    <w:basedOn w:val="648"/>
    <w:next w:val="648"/>
    <w:link w:val="484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484">
    <w:name w:val="Heading 5 Char"/>
    <w:basedOn w:val="649"/>
    <w:link w:val="483"/>
    <w:uiPriority w:val="9"/>
    <w:rPr>
      <w:rFonts w:ascii="Arial" w:hAnsi="Arial" w:cs="Arial" w:eastAsia="Arial"/>
      <w:b/>
      <w:bCs/>
      <w:sz w:val="24"/>
      <w:szCs w:val="24"/>
    </w:rPr>
  </w:style>
  <w:style w:type="paragraph" w:styleId="485">
    <w:name w:val="Heading 6"/>
    <w:basedOn w:val="648"/>
    <w:next w:val="648"/>
    <w:link w:val="486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486">
    <w:name w:val="Heading 6 Char"/>
    <w:basedOn w:val="649"/>
    <w:link w:val="485"/>
    <w:uiPriority w:val="9"/>
    <w:rPr>
      <w:rFonts w:ascii="Arial" w:hAnsi="Arial" w:cs="Arial" w:eastAsia="Arial"/>
      <w:b/>
      <w:bCs/>
      <w:sz w:val="22"/>
      <w:szCs w:val="22"/>
    </w:rPr>
  </w:style>
  <w:style w:type="paragraph" w:styleId="487">
    <w:name w:val="Heading 7"/>
    <w:basedOn w:val="648"/>
    <w:next w:val="648"/>
    <w:link w:val="488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88">
    <w:name w:val="Heading 7 Char"/>
    <w:basedOn w:val="649"/>
    <w:link w:val="487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89">
    <w:name w:val="Heading 8"/>
    <w:basedOn w:val="648"/>
    <w:next w:val="648"/>
    <w:link w:val="490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90">
    <w:name w:val="Heading 8 Char"/>
    <w:basedOn w:val="649"/>
    <w:link w:val="489"/>
    <w:uiPriority w:val="9"/>
    <w:rPr>
      <w:rFonts w:ascii="Arial" w:hAnsi="Arial" w:cs="Arial" w:eastAsia="Arial"/>
      <w:i/>
      <w:iCs/>
      <w:sz w:val="22"/>
      <w:szCs w:val="22"/>
    </w:rPr>
  </w:style>
  <w:style w:type="paragraph" w:styleId="491">
    <w:name w:val="Heading 9"/>
    <w:basedOn w:val="648"/>
    <w:next w:val="648"/>
    <w:link w:val="492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92">
    <w:name w:val="Heading 9 Char"/>
    <w:basedOn w:val="649"/>
    <w:link w:val="491"/>
    <w:uiPriority w:val="9"/>
    <w:rPr>
      <w:rFonts w:ascii="Arial" w:hAnsi="Arial" w:cs="Arial" w:eastAsia="Arial"/>
      <w:i/>
      <w:iCs/>
      <w:sz w:val="21"/>
      <w:szCs w:val="21"/>
    </w:rPr>
  </w:style>
  <w:style w:type="paragraph" w:styleId="493">
    <w:name w:val="Title"/>
    <w:basedOn w:val="648"/>
    <w:next w:val="648"/>
    <w:link w:val="494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94">
    <w:name w:val="Title Char"/>
    <w:basedOn w:val="649"/>
    <w:link w:val="493"/>
    <w:uiPriority w:val="10"/>
    <w:rPr>
      <w:sz w:val="48"/>
      <w:szCs w:val="48"/>
    </w:rPr>
  </w:style>
  <w:style w:type="paragraph" w:styleId="495">
    <w:name w:val="Subtitle"/>
    <w:basedOn w:val="648"/>
    <w:next w:val="648"/>
    <w:link w:val="496"/>
    <w:qFormat/>
    <w:uiPriority w:val="11"/>
    <w:rPr>
      <w:sz w:val="24"/>
      <w:szCs w:val="24"/>
    </w:rPr>
    <w:pPr>
      <w:spacing w:after="200" w:before="200"/>
    </w:pPr>
  </w:style>
  <w:style w:type="character" w:styleId="496">
    <w:name w:val="Subtitle Char"/>
    <w:basedOn w:val="649"/>
    <w:link w:val="495"/>
    <w:uiPriority w:val="11"/>
    <w:rPr>
      <w:sz w:val="24"/>
      <w:szCs w:val="24"/>
    </w:rPr>
  </w:style>
  <w:style w:type="paragraph" w:styleId="497">
    <w:name w:val="Quote"/>
    <w:basedOn w:val="648"/>
    <w:next w:val="648"/>
    <w:link w:val="498"/>
    <w:qFormat/>
    <w:uiPriority w:val="29"/>
    <w:rPr>
      <w:i/>
    </w:rPr>
    <w:pPr>
      <w:ind w:left="720" w:right="720"/>
    </w:pPr>
  </w:style>
  <w:style w:type="character" w:styleId="498">
    <w:name w:val="Quote Char"/>
    <w:link w:val="497"/>
    <w:uiPriority w:val="29"/>
    <w:rPr>
      <w:i/>
    </w:rPr>
  </w:style>
  <w:style w:type="paragraph" w:styleId="499">
    <w:name w:val="Intense Quote"/>
    <w:basedOn w:val="648"/>
    <w:next w:val="648"/>
    <w:link w:val="500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500">
    <w:name w:val="Intense Quote Char"/>
    <w:link w:val="499"/>
    <w:uiPriority w:val="30"/>
    <w:rPr>
      <w:i/>
    </w:rPr>
  </w:style>
  <w:style w:type="character" w:styleId="501">
    <w:name w:val="Header Char"/>
    <w:basedOn w:val="649"/>
    <w:link w:val="656"/>
    <w:uiPriority w:val="99"/>
  </w:style>
  <w:style w:type="character" w:styleId="502">
    <w:name w:val="Footer Char"/>
    <w:basedOn w:val="649"/>
    <w:link w:val="658"/>
    <w:uiPriority w:val="99"/>
  </w:style>
  <w:style w:type="paragraph" w:styleId="503">
    <w:name w:val="Caption"/>
    <w:basedOn w:val="648"/>
    <w:next w:val="64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504">
    <w:name w:val="Caption Char"/>
    <w:basedOn w:val="503"/>
    <w:link w:val="658"/>
    <w:uiPriority w:val="99"/>
  </w:style>
  <w:style w:type="table" w:styleId="505">
    <w:name w:val="Table Grid"/>
    <w:basedOn w:val="65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6">
    <w:name w:val="Table Grid Light"/>
    <w:basedOn w:val="65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7">
    <w:name w:val="Plain Table 1"/>
    <w:basedOn w:val="65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8">
    <w:name w:val="Plain Table 2"/>
    <w:basedOn w:val="65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9">
    <w:name w:val="Plain Table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0">
    <w:name w:val="Plain Table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1">
    <w:name w:val="Plain Table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12">
    <w:name w:val="Grid Table 1 Light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3">
    <w:name w:val="Grid Table 1 Light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4">
    <w:name w:val="Grid Table 1 Light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5">
    <w:name w:val="Grid Table 1 Light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6">
    <w:name w:val="Grid Table 1 Light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7">
    <w:name w:val="Grid Table 1 Light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8">
    <w:name w:val="Grid Table 1 Light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19">
    <w:name w:val="Grid Table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520">
    <w:name w:val="Grid Table 2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521">
    <w:name w:val="Grid Table 2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22">
    <w:name w:val="Grid Table 2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23">
    <w:name w:val="Grid Table 2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24">
    <w:name w:val="Grid Table 2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25">
    <w:name w:val="Grid Table 2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26">
    <w:name w:val="Grid Table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7">
    <w:name w:val="Grid Table 3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8">
    <w:name w:val="Grid Table 3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29">
    <w:name w:val="Grid Table 3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30">
    <w:name w:val="Grid Table 3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31">
    <w:name w:val="Grid Table 3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32">
    <w:name w:val="Grid Table 3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533">
    <w:name w:val="Grid Table 4"/>
    <w:basedOn w:val="6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534">
    <w:name w:val="Grid Table 4 - Accent 1"/>
    <w:basedOn w:val="6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67A4D8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535">
    <w:name w:val="Grid Table 4 - Accent 2"/>
    <w:basedOn w:val="6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4B185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536">
    <w:name w:val="Grid Table 4 - Accent 3"/>
    <w:basedOn w:val="6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537">
    <w:name w:val="Grid Table 4 - Accent 4"/>
    <w:basedOn w:val="6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D864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538">
    <w:name w:val="Grid Table 4 - Accent 5"/>
    <w:basedOn w:val="6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539">
    <w:name w:val="Grid Table 4 - Accent 6"/>
    <w:basedOn w:val="65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540">
    <w:name w:val="Grid Table 5 Dark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BFBFBF" w:themeFill="text1" w:themeFillTint="40"/>
    </w:tblPr>
    <w:tblStylePr w:type="band1Horz">
      <w:tcPr>
        <w:shd w:val="clear" w:color="auto" w:fill="8A8A8A" w:themeFill="text1" w:themeFillTint="75"/>
      </w:tcPr>
    </w:tblStylePr>
    <w:tblStylePr w:type="band1Vert">
      <w:tcPr>
        <w:shd w:val="clear" w:color="auto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000000" w:themeFill="text1"/>
        <w:tcBorders>
          <w:top w:val="single" w:color="000000" w:sz="4" w:space="0" w:themeColor="light1"/>
        </w:tcBorders>
      </w:tcPr>
    </w:tblStylePr>
  </w:style>
  <w:style w:type="table" w:styleId="541">
    <w:name w:val="Grid Table 5 Dark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DDEBF6" w:themeFill="accent1" w:themeFillTint="34"/>
    </w:tblPr>
    <w:tblStylePr w:type="band1Horz">
      <w:tcPr>
        <w:shd w:val="clear" w:color="auto" w:fill="B4D2EB" w:themeFill="accent1" w:themeFillTint="75"/>
      </w:tcPr>
    </w:tblStylePr>
    <w:tblStylePr w:type="band1Vert">
      <w:tcPr>
        <w:shd w:val="clear" w:color="auto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5B9BD5" w:themeFill="accent1"/>
        <w:tcBorders>
          <w:top w:val="single" w:color="000000" w:sz="4" w:space="0" w:themeColor="light1"/>
        </w:tcBorders>
      </w:tcPr>
    </w:tblStylePr>
  </w:style>
  <w:style w:type="table" w:styleId="542">
    <w:name w:val="Grid Table 5 Dark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BE5D6" w:themeFill="accent2" w:themeFillTint="32"/>
    </w:tblPr>
    <w:tblStylePr w:type="band1Horz">
      <w:tcPr>
        <w:shd w:val="clear" w:color="auto" w:fill="F6C3A1" w:themeFill="accent2" w:themeFillTint="75"/>
      </w:tcPr>
    </w:tblStylePr>
    <w:tblStylePr w:type="band1Vert">
      <w:tcPr>
        <w:shd w:val="clear" w:color="auto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ED7D31" w:themeFill="accent2"/>
        <w:tcBorders>
          <w:top w:val="single" w:color="000000" w:sz="4" w:space="0" w:themeColor="light1"/>
        </w:tcBorders>
      </w:tcPr>
    </w:tblStylePr>
  </w:style>
  <w:style w:type="table" w:styleId="543">
    <w:name w:val="Grid Table 5 Dark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EDEDED" w:themeFill="accent3" w:themeFillTint="34"/>
    </w:tblPr>
    <w:tblStylePr w:type="band1Horz">
      <w:tcPr>
        <w:shd w:val="clear" w:color="auto" w:fill="D6D6D6" w:themeFill="accent3" w:themeFillTint="75"/>
      </w:tcPr>
    </w:tblStylePr>
    <w:tblStylePr w:type="band1Vert">
      <w:tcPr>
        <w:shd w:val="clear" w:color="auto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A5A5A5" w:themeFill="accent3"/>
        <w:tcBorders>
          <w:top w:val="single" w:color="000000" w:sz="4" w:space="0" w:themeColor="light1"/>
        </w:tcBorders>
      </w:tcPr>
    </w:tblStylePr>
  </w:style>
  <w:style w:type="table" w:styleId="544">
    <w:name w:val="Grid Table 5 Dark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EF2CB" w:themeFill="accent4" w:themeFillTint="34"/>
    </w:tblPr>
    <w:tblStylePr w:type="band1Horz">
      <w:tcPr>
        <w:shd w:val="clear" w:color="auto" w:fill="FEE189" w:themeFill="accent4" w:themeFillTint="75"/>
      </w:tcPr>
    </w:tblStylePr>
    <w:tblStylePr w:type="band1Vert">
      <w:tcPr>
        <w:shd w:val="clear" w:color="auto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C000" w:themeFill="accent4"/>
        <w:tcBorders>
          <w:top w:val="single" w:color="000000" w:sz="4" w:space="0" w:themeColor="light1"/>
        </w:tcBorders>
      </w:tcPr>
    </w:tblStylePr>
  </w:style>
  <w:style w:type="table" w:styleId="545">
    <w:name w:val="Grid Table 5 Dark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D9E2F2" w:themeFill="accent5" w:themeFillTint="34"/>
    </w:tblPr>
    <w:tblStylePr w:type="band1Horz">
      <w:tcPr>
        <w:shd w:val="clear" w:color="auto" w:fill="AABFE3" w:themeFill="accent5" w:themeFillTint="75"/>
      </w:tcPr>
    </w:tblStylePr>
    <w:tblStylePr w:type="band1Vert">
      <w:tcPr>
        <w:shd w:val="clear" w:color="auto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4472C4" w:themeFill="accent5"/>
        <w:tcBorders>
          <w:top w:val="single" w:color="000000" w:sz="4" w:space="0" w:themeColor="light1"/>
        </w:tcBorders>
      </w:tcPr>
    </w:tblStylePr>
  </w:style>
  <w:style w:type="table" w:styleId="546">
    <w:name w:val="Grid Table 5 Dark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E2EFD8" w:themeFill="accent6" w:themeFillTint="34"/>
    </w:tblPr>
    <w:tblStylePr w:type="band1Horz">
      <w:tcPr>
        <w:shd w:val="clear" w:color="auto" w:fill="BEDBA8" w:themeFill="accent6" w:themeFillTint="75"/>
      </w:tcPr>
    </w:tblStylePr>
    <w:tblStylePr w:type="band1Vert">
      <w:tcPr>
        <w:shd w:val="clear" w:color="auto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70AD47" w:themeFill="accent6"/>
        <w:tcBorders>
          <w:top w:val="single" w:color="000000" w:sz="4" w:space="0" w:themeColor="light1"/>
        </w:tcBorders>
      </w:tcPr>
    </w:tblStylePr>
  </w:style>
  <w:style w:type="table" w:styleId="547">
    <w:name w:val="Grid Table 6 Colorful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CBCBCB" w:themeFill="text1" w:themeFillTint="34"/>
      </w:tcPr>
    </w:tblStylePr>
    <w:tblStylePr w:type="band1Vert"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548">
    <w:name w:val="Grid Table 6 Colorful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DDEBF6" w:themeFill="accent1" w:themeFillTint="34"/>
      </w:tcPr>
    </w:tblStylePr>
    <w:tblStylePr w:type="band1Vert">
      <w:tcPr>
        <w:shd w:val="clear" w:color="auto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549">
    <w:name w:val="Grid Table 6 Colorful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BE5D6" w:themeFill="accent2" w:themeFillTint="32"/>
      </w:tcPr>
    </w:tblStylePr>
    <w:tblStylePr w:type="band1Vert"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550">
    <w:name w:val="Grid Table 6 Colorful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EDEDED" w:themeFill="accent3" w:themeFillTint="34"/>
      </w:tcPr>
    </w:tblStylePr>
    <w:tblStylePr w:type="band1Vert">
      <w:tcPr>
        <w:shd w:val="clear" w:color="auto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551">
    <w:name w:val="Grid Table 6 Colorful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EF2CB" w:themeFill="accent4" w:themeFillTint="34"/>
      </w:tcPr>
    </w:tblStylePr>
    <w:tblStylePr w:type="band1Vert">
      <w:tcPr>
        <w:shd w:val="clear" w:color="auto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552">
    <w:name w:val="Grid Table 6 Colorful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D9E2F2" w:themeFill="accent5" w:themeFillTint="34"/>
      </w:tcPr>
    </w:tblStylePr>
    <w:tblStylePr w:type="band1Vert">
      <w:tcPr>
        <w:shd w:val="clear" w:color="auto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53">
    <w:name w:val="Grid Table 6 Colorful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E2EFD8" w:themeFill="accent6" w:themeFillTint="34"/>
      </w:tcPr>
    </w:tblStylePr>
    <w:tblStylePr w:type="band1Vert">
      <w:tcPr>
        <w:shd w:val="clear" w:color="auto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554">
    <w:name w:val="Grid Table 7 Colorful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2F2F2" w:themeFill="text1" w:themeFillTint="0D"/>
      </w:tcPr>
    </w:tblStylePr>
    <w:tblStylePr w:type="band1Vert"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555">
    <w:name w:val="Grid Table 7 Colorful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auto" w:fill="DDEBF6" w:themeFill="accent1" w:themeFillTint="34"/>
      </w:tcPr>
    </w:tblStylePr>
    <w:tblStylePr w:type="band1Vert">
      <w:tcPr>
        <w:shd w:val="clear" w:color="auto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556">
    <w:name w:val="Grid Table 7 Colorful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BE5D6" w:themeFill="accent2" w:themeFillTint="32"/>
      </w:tcPr>
    </w:tblStylePr>
    <w:tblStylePr w:type="band1Vert"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557">
    <w:name w:val="Grid Table 7 Colorful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auto" w:fill="EDEDED" w:themeFill="accent3" w:themeFillTint="34"/>
      </w:tcPr>
    </w:tblStylePr>
    <w:tblStylePr w:type="band1Vert">
      <w:tcPr>
        <w:shd w:val="clear" w:color="auto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558">
    <w:name w:val="Grid Table 7 Colorful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EF2CB" w:themeFill="accent4" w:themeFillTint="34"/>
      </w:tcPr>
    </w:tblStylePr>
    <w:tblStylePr w:type="band1Vert">
      <w:tcPr>
        <w:shd w:val="clear" w:color="auto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559">
    <w:name w:val="Grid Table 7 Colorful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auto" w:fill="D9E2F2" w:themeFill="accent5" w:themeFillTint="34"/>
      </w:tcPr>
    </w:tblStylePr>
    <w:tblStylePr w:type="band1Vert">
      <w:tcPr>
        <w:shd w:val="clear" w:color="auto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560">
    <w:name w:val="Grid Table 7 Colorful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auto" w:fill="E2EFD8" w:themeFill="accent6" w:themeFillTint="34"/>
      </w:tcPr>
    </w:tblStylePr>
    <w:tblStylePr w:type="band1Vert">
      <w:tcPr>
        <w:shd w:val="clear" w:color="auto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561">
    <w:name w:val="List Table 1 Light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562">
    <w:name w:val="List Table 1 Light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D5E6F4" w:themeFill="accent1" w:themeFillTint="40"/>
      </w:tcPr>
    </w:tblStylePr>
    <w:tblStylePr w:type="band1Vert">
      <w:tcPr>
        <w:shd w:val="clear" w:color="auto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563">
    <w:name w:val="List Table 1 Light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564">
    <w:name w:val="List Table 1 Light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565">
    <w:name w:val="List Table 1 Light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566">
    <w:name w:val="List Table 1 Light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CFDCF0" w:themeFill="accent5" w:themeFillTint="40"/>
      </w:tcPr>
    </w:tblStylePr>
    <w:tblStylePr w:type="band1Vert">
      <w:tcPr>
        <w:shd w:val="clear" w:color="auto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567">
    <w:name w:val="List Table 1 Light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DBEBD0" w:themeFill="accent6" w:themeFillTint="40"/>
      </w:tcPr>
    </w:tblStylePr>
    <w:tblStylePr w:type="band1Vert">
      <w:tcPr>
        <w:shd w:val="clear" w:color="auto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568">
    <w:name w:val="List Table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569">
    <w:name w:val="List Table 2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570">
    <w:name w:val="List Table 2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571">
    <w:name w:val="List Table 2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572">
    <w:name w:val="List Table 2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573">
    <w:name w:val="List Table 2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574">
    <w:name w:val="List Table 2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575">
    <w:name w:val="List Table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6">
    <w:name w:val="List Table 3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7">
    <w:name w:val="List Table 3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8">
    <w:name w:val="List Table 3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9">
    <w:name w:val="List Table 3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0">
    <w:name w:val="List Table 3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1">
    <w:name w:val="List Table 3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2">
    <w:name w:val="List Table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3">
    <w:name w:val="List Table 4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4">
    <w:name w:val="List Table 4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5">
    <w:name w:val="List Table 4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6">
    <w:name w:val="List Table 4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7">
    <w:name w:val="List Table 4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8">
    <w:name w:val="List Table 4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9">
    <w:name w:val="List Table 5 Dark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7F7F7F" w:themeFill="text1" w:themeFillTint="80"/>
    </w:tblPr>
    <w:tblStylePr w:type="band1Horz">
      <w:tcPr>
        <w:shd w:val="clear" w:color="auto" w:fill="7F7F7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7F7F7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7F7F7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7F7F7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90">
    <w:name w:val="List Table 5 Dark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5B9BD5" w:themeFill="accent1"/>
    </w:tblPr>
    <w:tblStylePr w:type="band1Horz">
      <w:tcPr>
        <w:shd w:val="clear" w:color="auto" w:fill="5B9BD5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5B9BD5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5B9BD5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5B9BD5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91">
    <w:name w:val="List Table 5 Dark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4B185" w:themeFill="accent2" w:themeFillTint="97"/>
    </w:tblPr>
    <w:tblStylePr w:type="band1Horz">
      <w:tcPr>
        <w:shd w:val="clear" w:color="auto" w:fill="F4B185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4B185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4B185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4B185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92">
    <w:name w:val="List Table 5 Dark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C9C9C9" w:themeFill="accent3" w:themeFillTint="98"/>
    </w:tblPr>
    <w:tblStylePr w:type="band1Horz">
      <w:tcPr>
        <w:shd w:val="clear" w:color="auto" w:fill="C9C9C9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C9C9C9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C9C9C9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C9C9C9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93">
    <w:name w:val="List Table 5 Dark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D864" w:themeFill="accent4" w:themeFillTint="9A"/>
    </w:tblPr>
    <w:tblStylePr w:type="band1Horz">
      <w:tcPr>
        <w:shd w:val="clear" w:color="auto" w:fill="FFD864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D864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D864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D864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94">
    <w:name w:val="List Table 5 Dark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8EABDB" w:themeFill="accent5" w:themeFillTint="9A"/>
    </w:tblPr>
    <w:tblStylePr w:type="band1Horz">
      <w:tcPr>
        <w:shd w:val="clear" w:color="auto" w:fill="8EABDB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8EABDB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8EABDB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8EABDB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95">
    <w:name w:val="List Table 5 Dark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AAD08F" w:themeFill="accent6" w:themeFillTint="98"/>
    </w:tblPr>
    <w:tblStylePr w:type="band1Horz">
      <w:tcPr>
        <w:shd w:val="clear" w:color="auto" w:fill="AAD08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AAD08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AAD08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AAD08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96">
    <w:name w:val="List Table 6 Colorful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97">
    <w:name w:val="List Table 6 Colorful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D5E6F4" w:themeFill="accent1" w:themeFillTint="40"/>
      </w:tcPr>
    </w:tblStylePr>
    <w:tblStylePr w:type="band1Vert">
      <w:tcPr>
        <w:shd w:val="clear" w:color="auto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98">
    <w:name w:val="List Table 6 Colorful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99">
    <w:name w:val="List Table 6 Colorful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600">
    <w:name w:val="List Table 6 Colorful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601">
    <w:name w:val="List Table 6 Colorful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CFDCF0" w:themeFill="accent5" w:themeFillTint="40"/>
      </w:tcPr>
    </w:tblStylePr>
    <w:tblStylePr w:type="band1Vert">
      <w:tcPr>
        <w:shd w:val="clear" w:color="auto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602">
    <w:name w:val="List Table 6 Colorful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DBEBD0" w:themeFill="accent6" w:themeFillTint="40"/>
      </w:tcPr>
    </w:tblStylePr>
    <w:tblStylePr w:type="band1Vert">
      <w:tcPr>
        <w:shd w:val="clear" w:color="auto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603">
    <w:name w:val="List Table 7 Colorful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BFBFBF" w:themeFill="text1" w:themeFillTint="40"/>
      </w:tcPr>
    </w:tblStylePr>
    <w:tblStylePr w:type="band1Vert"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604">
    <w:name w:val="List Table 7 Colorful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auto" w:fill="D5E6F4" w:themeFill="accent1" w:themeFillTint="40"/>
      </w:tcPr>
    </w:tblStylePr>
    <w:tblStylePr w:type="band1Vert">
      <w:tcPr>
        <w:shd w:val="clear" w:color="auto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605">
    <w:name w:val="List Table 7 Colorful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auto" w:fill="FADECB" w:themeFill="accent2" w:themeFillTint="40"/>
      </w:tcPr>
    </w:tblStylePr>
    <w:tblStylePr w:type="band1Vert"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606">
    <w:name w:val="List Table 7 Colorful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auto" w:fill="E8E8E8" w:themeFill="accent3" w:themeFillTint="40"/>
      </w:tcPr>
    </w:tblStylePr>
    <w:tblStylePr w:type="band1Vert"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607">
    <w:name w:val="List Table 7 Colorful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auto" w:fill="FFEFBF" w:themeFill="accent4" w:themeFillTint="40"/>
      </w:tcPr>
    </w:tblStylePr>
    <w:tblStylePr w:type="band1Vert"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608">
    <w:name w:val="List Table 7 Colorful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auto" w:fill="CFDCF0" w:themeFill="accent5" w:themeFillTint="40"/>
      </w:tcPr>
    </w:tblStylePr>
    <w:tblStylePr w:type="band1Vert">
      <w:tcPr>
        <w:shd w:val="clear" w:color="auto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609">
    <w:name w:val="List Table 7 Colorful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auto" w:fill="DBEBD0" w:themeFill="accent6" w:themeFillTint="40"/>
      </w:tcPr>
    </w:tblStylePr>
    <w:tblStylePr w:type="band1Vert">
      <w:tcPr>
        <w:shd w:val="clear" w:color="auto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610">
    <w:name w:val="Lined - Accent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11">
    <w:name w:val="Lined - Accent 1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67A4D8" w:themeFill="accent1" w:themeFillTint="EA"/>
      </w:tcPr>
    </w:tblStylePr>
  </w:style>
  <w:style w:type="table" w:styleId="612">
    <w:name w:val="Lined - Accent 2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4B185" w:themeFill="accent2" w:themeFillTint="97"/>
      </w:tcPr>
    </w:tblStylePr>
  </w:style>
  <w:style w:type="table" w:styleId="613">
    <w:name w:val="Lined - Accent 3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</w:style>
  <w:style w:type="table" w:styleId="614">
    <w:name w:val="Lined - Accent 4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D864" w:themeFill="accent4" w:themeFillTint="9A"/>
      </w:tcPr>
    </w:tblStylePr>
  </w:style>
  <w:style w:type="table" w:styleId="615">
    <w:name w:val="Lined - Accent 5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</w:style>
  <w:style w:type="table" w:styleId="616">
    <w:name w:val="Lined - Accent 6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</w:style>
  <w:style w:type="table" w:styleId="617">
    <w:name w:val="Bordered &amp; Lined - Accent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 w:themeFill="text1" w:themeFillTint="80"/>
      </w:tcPr>
    </w:tblStylePr>
  </w:style>
  <w:style w:type="table" w:styleId="618">
    <w:name w:val="Bordered &amp; Lined - Accent 1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67A4D8" w:themeFill="accent1" w:themeFillTint="EA"/>
      </w:tcPr>
    </w:tblStylePr>
  </w:style>
  <w:style w:type="table" w:styleId="619">
    <w:name w:val="Bordered &amp; Lined - Accent 2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4B185" w:themeFill="accent2" w:themeFillTint="97"/>
      </w:tcPr>
    </w:tblStylePr>
  </w:style>
  <w:style w:type="table" w:styleId="620">
    <w:name w:val="Bordered &amp; Lined - Accent 3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A5A5A5" w:themeFill="accent3" w:themeFillTint="FE"/>
      </w:tcPr>
    </w:tblStylePr>
  </w:style>
  <w:style w:type="table" w:styleId="621">
    <w:name w:val="Bordered &amp; Lined - Accent 4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D864" w:themeFill="accent4" w:themeFillTint="9A"/>
      </w:tcPr>
    </w:tblStylePr>
  </w:style>
  <w:style w:type="table" w:styleId="622">
    <w:name w:val="Bordered &amp; Lined - Accent 5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472C4" w:themeFill="accent5"/>
      </w:tcPr>
    </w:tblStylePr>
  </w:style>
  <w:style w:type="table" w:styleId="623">
    <w:name w:val="Bordered &amp; Lined - Accent 6"/>
    <w:basedOn w:val="65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0AD47" w:themeFill="accent6"/>
      </w:tcPr>
    </w:tblStylePr>
  </w:style>
  <w:style w:type="table" w:styleId="624">
    <w:name w:val="Bordered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625">
    <w:name w:val="Bordered - Accent 1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626">
    <w:name w:val="Bordered - Accent 2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627">
    <w:name w:val="Bordered - Accent 3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628">
    <w:name w:val="Bordered - Accent 4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629">
    <w:name w:val="Bordered - Accent 5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630">
    <w:name w:val="Bordered - Accent 6"/>
    <w:basedOn w:val="65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631">
    <w:name w:val="footnote text"/>
    <w:basedOn w:val="648"/>
    <w:link w:val="632"/>
    <w:uiPriority w:val="99"/>
    <w:semiHidden/>
    <w:unhideWhenUsed/>
    <w:rPr>
      <w:sz w:val="18"/>
    </w:rPr>
    <w:pPr>
      <w:spacing w:lineRule="auto" w:line="240" w:after="40"/>
    </w:pPr>
  </w:style>
  <w:style w:type="character" w:styleId="632">
    <w:name w:val="Footnote Text Char"/>
    <w:link w:val="631"/>
    <w:uiPriority w:val="99"/>
    <w:rPr>
      <w:sz w:val="18"/>
    </w:rPr>
  </w:style>
  <w:style w:type="character" w:styleId="633">
    <w:name w:val="footnote reference"/>
    <w:basedOn w:val="649"/>
    <w:uiPriority w:val="99"/>
    <w:unhideWhenUsed/>
    <w:rPr>
      <w:vertAlign w:val="superscript"/>
    </w:rPr>
  </w:style>
  <w:style w:type="paragraph" w:styleId="634">
    <w:name w:val="endnote text"/>
    <w:basedOn w:val="648"/>
    <w:link w:val="635"/>
    <w:uiPriority w:val="99"/>
    <w:semiHidden/>
    <w:unhideWhenUsed/>
    <w:rPr>
      <w:sz w:val="20"/>
    </w:rPr>
    <w:pPr>
      <w:spacing w:lineRule="auto" w:line="240" w:after="0"/>
    </w:pPr>
  </w:style>
  <w:style w:type="character" w:styleId="635">
    <w:name w:val="Endnote Text Char"/>
    <w:link w:val="634"/>
    <w:uiPriority w:val="99"/>
    <w:rPr>
      <w:sz w:val="20"/>
    </w:rPr>
  </w:style>
  <w:style w:type="character" w:styleId="636">
    <w:name w:val="endnote reference"/>
    <w:basedOn w:val="649"/>
    <w:uiPriority w:val="99"/>
    <w:semiHidden/>
    <w:unhideWhenUsed/>
    <w:rPr>
      <w:vertAlign w:val="superscript"/>
    </w:rPr>
  </w:style>
  <w:style w:type="paragraph" w:styleId="637">
    <w:name w:val="toc 1"/>
    <w:basedOn w:val="648"/>
    <w:next w:val="648"/>
    <w:uiPriority w:val="39"/>
    <w:unhideWhenUsed/>
    <w:pPr>
      <w:ind w:left="0" w:right="0" w:firstLine="0"/>
      <w:spacing w:after="57"/>
    </w:pPr>
  </w:style>
  <w:style w:type="paragraph" w:styleId="638">
    <w:name w:val="toc 2"/>
    <w:basedOn w:val="648"/>
    <w:next w:val="648"/>
    <w:uiPriority w:val="39"/>
    <w:unhideWhenUsed/>
    <w:pPr>
      <w:ind w:left="283" w:right="0" w:firstLine="0"/>
      <w:spacing w:after="57"/>
    </w:pPr>
  </w:style>
  <w:style w:type="paragraph" w:styleId="639">
    <w:name w:val="toc 3"/>
    <w:basedOn w:val="648"/>
    <w:next w:val="648"/>
    <w:uiPriority w:val="39"/>
    <w:unhideWhenUsed/>
    <w:pPr>
      <w:ind w:left="567" w:right="0" w:firstLine="0"/>
      <w:spacing w:after="57"/>
    </w:pPr>
  </w:style>
  <w:style w:type="paragraph" w:styleId="640">
    <w:name w:val="toc 4"/>
    <w:basedOn w:val="648"/>
    <w:next w:val="648"/>
    <w:uiPriority w:val="39"/>
    <w:unhideWhenUsed/>
    <w:pPr>
      <w:ind w:left="850" w:right="0" w:firstLine="0"/>
      <w:spacing w:after="57"/>
    </w:pPr>
  </w:style>
  <w:style w:type="paragraph" w:styleId="641">
    <w:name w:val="toc 5"/>
    <w:basedOn w:val="648"/>
    <w:next w:val="648"/>
    <w:uiPriority w:val="39"/>
    <w:unhideWhenUsed/>
    <w:pPr>
      <w:ind w:left="1134" w:right="0" w:firstLine="0"/>
      <w:spacing w:after="57"/>
    </w:pPr>
  </w:style>
  <w:style w:type="paragraph" w:styleId="642">
    <w:name w:val="toc 6"/>
    <w:basedOn w:val="648"/>
    <w:next w:val="648"/>
    <w:uiPriority w:val="39"/>
    <w:unhideWhenUsed/>
    <w:pPr>
      <w:ind w:left="1417" w:right="0" w:firstLine="0"/>
      <w:spacing w:after="57"/>
    </w:pPr>
  </w:style>
  <w:style w:type="paragraph" w:styleId="643">
    <w:name w:val="toc 7"/>
    <w:basedOn w:val="648"/>
    <w:next w:val="648"/>
    <w:uiPriority w:val="39"/>
    <w:unhideWhenUsed/>
    <w:pPr>
      <w:ind w:left="1701" w:right="0" w:firstLine="0"/>
      <w:spacing w:after="57"/>
    </w:pPr>
  </w:style>
  <w:style w:type="paragraph" w:styleId="644">
    <w:name w:val="toc 8"/>
    <w:basedOn w:val="648"/>
    <w:next w:val="648"/>
    <w:uiPriority w:val="39"/>
    <w:unhideWhenUsed/>
    <w:pPr>
      <w:ind w:left="1984" w:right="0" w:firstLine="0"/>
      <w:spacing w:after="57"/>
    </w:pPr>
  </w:style>
  <w:style w:type="paragraph" w:styleId="645">
    <w:name w:val="toc 9"/>
    <w:basedOn w:val="648"/>
    <w:next w:val="648"/>
    <w:uiPriority w:val="39"/>
    <w:unhideWhenUsed/>
    <w:pPr>
      <w:ind w:left="2268" w:right="0" w:firstLine="0"/>
      <w:spacing w:after="57"/>
    </w:pPr>
  </w:style>
  <w:style w:type="paragraph" w:styleId="646">
    <w:name w:val="TOC Heading"/>
    <w:uiPriority w:val="39"/>
    <w:unhideWhenUsed/>
  </w:style>
  <w:style w:type="paragraph" w:styleId="647">
    <w:name w:val="table of figures"/>
    <w:basedOn w:val="648"/>
    <w:next w:val="648"/>
    <w:uiPriority w:val="99"/>
    <w:unhideWhenUsed/>
    <w:pPr>
      <w:spacing w:after="0" w:afterAutospacing="0"/>
    </w:pPr>
  </w:style>
  <w:style w:type="paragraph" w:styleId="648" w:default="1">
    <w:name w:val="Normal"/>
    <w:qFormat/>
  </w:style>
  <w:style w:type="character" w:styleId="649" w:default="1">
    <w:name w:val="Default Paragraph Font"/>
    <w:uiPriority w:val="1"/>
    <w:semiHidden/>
    <w:unhideWhenUsed/>
  </w:style>
  <w:style w:type="table" w:styleId="6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51" w:default="1">
    <w:name w:val="No List"/>
    <w:uiPriority w:val="99"/>
    <w:semiHidden/>
    <w:unhideWhenUsed/>
  </w:style>
  <w:style w:type="paragraph" w:styleId="652">
    <w:name w:val="Balloon Text"/>
    <w:basedOn w:val="648"/>
    <w:link w:val="653"/>
    <w:uiPriority w:val="99"/>
    <w:semiHidden/>
    <w:unhideWhenUsed/>
    <w:rPr>
      <w:rFonts w:ascii="Segoe UI" w:hAnsi="Segoe UI" w:cs="Segoe UI"/>
      <w:sz w:val="18"/>
      <w:szCs w:val="18"/>
    </w:rPr>
    <w:pPr>
      <w:spacing w:lineRule="auto" w:line="240" w:after="0"/>
    </w:pPr>
  </w:style>
  <w:style w:type="character" w:styleId="653" w:customStyle="1">
    <w:name w:val="Текст выноски Знак"/>
    <w:basedOn w:val="649"/>
    <w:link w:val="652"/>
    <w:uiPriority w:val="99"/>
    <w:semiHidden/>
    <w:rPr>
      <w:rFonts w:ascii="Segoe UI" w:hAnsi="Segoe UI" w:cs="Segoe UI"/>
      <w:sz w:val="18"/>
      <w:szCs w:val="18"/>
    </w:rPr>
  </w:style>
  <w:style w:type="paragraph" w:styleId="654">
    <w:name w:val="List Paragraph"/>
    <w:basedOn w:val="648"/>
    <w:qFormat/>
    <w:uiPriority w:val="34"/>
    <w:pPr>
      <w:contextualSpacing w:val="true"/>
      <w:ind w:left="720"/>
    </w:pPr>
  </w:style>
  <w:style w:type="paragraph" w:styleId="655">
    <w:name w:val="No Spacing"/>
    <w:qFormat/>
    <w:uiPriority w:val="1"/>
    <w:pPr>
      <w:spacing w:lineRule="auto" w:line="240" w:after="0"/>
    </w:pPr>
  </w:style>
  <w:style w:type="paragraph" w:styleId="656">
    <w:name w:val="Header"/>
    <w:basedOn w:val="648"/>
    <w:link w:val="657"/>
    <w:uiPriority w:val="99"/>
    <w:semiHidden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657" w:customStyle="1">
    <w:name w:val="Верхний колонтитул Знак"/>
    <w:basedOn w:val="649"/>
    <w:link w:val="656"/>
    <w:uiPriority w:val="99"/>
    <w:semiHidden/>
  </w:style>
  <w:style w:type="paragraph" w:styleId="658">
    <w:name w:val="Footer"/>
    <w:basedOn w:val="648"/>
    <w:link w:val="659"/>
    <w:uiPriority w:val="99"/>
    <w:semiHidden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659" w:customStyle="1">
    <w:name w:val="Нижний колонтитул Знак"/>
    <w:basedOn w:val="649"/>
    <w:link w:val="658"/>
    <w:uiPriority w:val="99"/>
    <w:semiHidden/>
  </w:style>
  <w:style w:type="character" w:styleId="660">
    <w:name w:val="Hyperlink"/>
    <w:basedOn w:val="649"/>
    <w:uiPriority w:val="99"/>
    <w:semiHidden/>
    <w:unhideWhenUsed/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Р7-Офис/6.0.1.37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revision>9</cp:revision>
  <dcterms:created xsi:type="dcterms:W3CDTF">2022-09-30T09:10:00Z</dcterms:created>
  <dcterms:modified xsi:type="dcterms:W3CDTF">2024-08-08T09:18:12Z</dcterms:modified>
</cp:coreProperties>
</file>