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Обоснование начальной (максимальной) цены контракта</w:t>
      </w:r>
      <w:r/>
    </w:p>
    <w:tbl>
      <w:tblPr>
        <w:tblW w:w="14742" w:type="dxa"/>
        <w:tblInd w:w="-459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536"/>
        <w:gridCol w:w="10206"/>
      </w:tblGrid>
      <w:tr>
        <w:trPr>
          <w:trHeight w:val="524"/>
        </w:trPr>
        <w:tc>
          <w:tcPr>
            <w:tcW w:w="4536" w:type="dxa"/>
            <w:textDirection w:val="lrTb"/>
            <w:noWrap w:val="false"/>
          </w:tcPr>
          <w:p>
            <w:pPr>
              <w:jc w:val="both"/>
              <w:spacing w:lineRule="auto" w:line="24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Предмет контракта</w:t>
            </w:r>
            <w:r/>
          </w:p>
        </w:tc>
        <w:tc>
          <w:tcPr>
            <w:tcW w:w="10206" w:type="dxa"/>
            <w:textDirection w:val="lrTb"/>
            <w:noWrap w:val="false"/>
          </w:tcPr>
          <w:p>
            <w:pPr>
              <w:jc w:val="both"/>
              <w:spacing w:lineRule="auto" w:line="24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zh-CN"/>
              </w:rPr>
              <w:t xml:space="preserve">В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zh-CN"/>
              </w:rPr>
              <w:t xml:space="preserve">ыполнение работ по сохранению (благоустройству) с приспособлением под современное использование объекта культурн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zh-CN"/>
              </w:rPr>
              <w:t xml:space="preserve">ого наследия федерального значения «Парк», 2-я пол. XIX в., входящего в состав объекта культурного наследия федерального значения «Усадьба «Высокое», 2-я пол. XIX в. (Смоленская область), расположенного в Смоленской области, Новодугинский район, с. Высокое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  <w:lang w:eastAsia="zh-CN"/>
              </w:rPr>
              <w:t xml:space="preserve"> (далее также – Объект культурного наследия)</w:t>
            </w:r>
            <w:r/>
          </w:p>
        </w:tc>
      </w:tr>
      <w:tr>
        <w:trPr>
          <w:trHeight w:val="559"/>
        </w:trPr>
        <w:tc>
          <w:tcPr>
            <w:tcW w:w="4536" w:type="dxa"/>
            <w:textDirection w:val="lrTb"/>
            <w:noWrap w:val="false"/>
          </w:tcPr>
          <w:p>
            <w:pPr>
              <w:jc w:val="both"/>
              <w:spacing w:lineRule="auto" w:line="24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Используемый метод определения начальной (максимальной) цены контракта (далее - НМЦК)</w:t>
            </w:r>
            <w:r/>
          </w:p>
        </w:tc>
        <w:tc>
          <w:tcPr>
            <w:tcW w:w="10206" w:type="dxa"/>
            <w:textDirection w:val="lrTb"/>
            <w:noWrap w:val="false"/>
          </w:tcPr>
          <w:p>
            <w:pPr>
              <w:jc w:val="both"/>
              <w:spacing w:lineRule="auto" w:line="24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Метод сопоставимых рыночных цен (анализ рынка)</w:t>
            </w:r>
            <w:r/>
          </w:p>
        </w:tc>
      </w:tr>
    </w:tbl>
    <w:p>
      <w:pPr>
        <w:jc w:val="center"/>
        <w:spacing w:lineRule="auto" w:line="24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Расчет НМЦК</w:t>
      </w:r>
      <w:r/>
      <w:r>
        <w:rPr>
          <w:rFonts w:ascii="Times New Roman" w:hAnsi="Times New Roman"/>
          <w:sz w:val="24"/>
          <w:szCs w:val="24"/>
          <w:lang w:eastAsia="ru-RU"/>
        </w:rPr>
      </w:r>
      <w:r/>
    </w:p>
    <w:tbl>
      <w:tblPr>
        <w:tblW w:w="14742" w:type="dxa"/>
        <w:tblInd w:w="-459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541"/>
        <w:gridCol w:w="3995"/>
        <w:gridCol w:w="1985"/>
        <w:gridCol w:w="1966"/>
        <w:gridCol w:w="1748"/>
        <w:gridCol w:w="1814"/>
        <w:gridCol w:w="879"/>
        <w:gridCol w:w="1814"/>
      </w:tblGrid>
      <w:tr>
        <w:trPr/>
        <w:tc>
          <w:tcPr>
            <w:tcW w:w="541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№ п/п</w:t>
            </w:r>
            <w:r/>
          </w:p>
        </w:tc>
        <w:tc>
          <w:tcPr>
            <w:tcW w:w="3995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Наименование объекта закупки</w:t>
            </w:r>
            <w:r/>
          </w:p>
        </w:tc>
        <w:tc>
          <w:tcPr>
            <w:gridSpan w:val="3"/>
            <w:tcW w:w="5699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Источники обоснования НМЦК, руб.</w:t>
            </w:r>
            <w:r/>
          </w:p>
        </w:tc>
        <w:tc>
          <w:tcPr>
            <w:tcW w:w="181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Средняя цена за единицу (руб.)</w:t>
            </w:r>
            <w:r/>
          </w:p>
        </w:tc>
        <w:tc>
          <w:tcPr>
            <w:tcW w:w="879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Количество</w:t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(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шт.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)</w:t>
            </w:r>
            <w:r/>
          </w:p>
        </w:tc>
        <w:tc>
          <w:tcPr>
            <w:tcW w:w="181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Стоимость </w:t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(руб.)</w:t>
            </w:r>
            <w:r/>
          </w:p>
        </w:tc>
      </w:tr>
      <w:tr>
        <w:trPr>
          <w:trHeight w:val="935"/>
        </w:trPr>
        <w:tc>
          <w:tcPr>
            <w:tcW w:w="541" w:type="dxa"/>
            <w:vMerge w:val="continue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/>
          </w:p>
        </w:tc>
        <w:tc>
          <w:tcPr>
            <w:tcW w:w="3995" w:type="dxa"/>
            <w:vMerge w:val="continue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/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Источник информации №1</w:t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ar-SA"/>
              </w:rPr>
            </w:r>
            <w:r/>
          </w:p>
        </w:tc>
        <w:tc>
          <w:tcPr>
            <w:tcW w:w="1966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Источник информации №2 </w:t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ar-SA"/>
              </w:rPr>
            </w:r>
            <w:r/>
          </w:p>
        </w:tc>
        <w:tc>
          <w:tcPr>
            <w:tcW w:w="174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Источник информации №3</w:t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  <w:lang w:eastAsia="ar-SA"/>
              </w:rPr>
            </w:r>
            <w:r/>
          </w:p>
        </w:tc>
        <w:tc>
          <w:tcPr>
            <w:tcW w:w="1814" w:type="dxa"/>
            <w:vMerge w:val="continue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/>
          </w:p>
        </w:tc>
        <w:tc>
          <w:tcPr>
            <w:tcW w:w="879" w:type="dxa"/>
            <w:vMerge w:val="continue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/>
          </w:p>
        </w:tc>
        <w:tc>
          <w:tcPr>
            <w:tcW w:w="1814" w:type="dxa"/>
            <w:vMerge w:val="continue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</w:r>
            <w:r/>
          </w:p>
        </w:tc>
      </w:tr>
      <w:tr>
        <w:trPr/>
        <w:tc>
          <w:tcPr>
            <w:tcW w:w="541" w:type="dxa"/>
            <w:vAlign w:val="center"/>
            <w:textDirection w:val="lrTb"/>
            <w:noWrap w:val="false"/>
          </w:tcPr>
          <w:p>
            <w:pPr>
              <w:pStyle w:val="451"/>
              <w:jc w:val="center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1</w:t>
            </w:r>
            <w:r/>
          </w:p>
        </w:tc>
        <w:tc>
          <w:tcPr>
            <w:tcW w:w="3995" w:type="dxa"/>
            <w:vAlign w:val="bottom"/>
            <w:textDirection w:val="lrTb"/>
            <w:noWrap w:val="false"/>
          </w:tcPr>
          <w:p>
            <w:pPr>
              <w:pStyle w:val="451"/>
              <w:jc w:val="both"/>
              <w:rPr>
                <w:b/>
                <w:lang w:eastAsia="en-US"/>
              </w:rPr>
            </w:pPr>
            <w:r>
              <w:rPr>
                <w:sz w:val="22"/>
                <w:lang w:eastAsia="zh-CN"/>
              </w:rPr>
              <w:t xml:space="preserve">В</w:t>
            </w:r>
            <w:r>
              <w:rPr>
                <w:sz w:val="22"/>
                <w:lang w:eastAsia="zh-CN"/>
              </w:rPr>
              <w:t xml:space="preserve">ыполнение работ по сохранению (благоустройству) с приспособлением под современное использование объекта культурн</w:t>
            </w:r>
            <w:r>
              <w:rPr>
                <w:sz w:val="22"/>
                <w:lang w:eastAsia="zh-CN"/>
              </w:rPr>
              <w:t xml:space="preserve">ого наследия федерального значения «Парк», 2-я пол. XIX в., входящего в состав объекта культурного наследия федерального значения «Усадьба «Высокое», 2-я пол. XIX в. (Смоленская область), расположенного в Смоленской области, Новодугинский район, с. Высокое</w:t>
            </w:r>
            <w:r>
              <w:rPr>
                <w:rFonts w:eastAsia="Calibri"/>
                <w:color w:val="000000"/>
                <w:spacing w:val="1"/>
                <w:sz w:val="22"/>
                <w:lang w:eastAsia="zh-CN"/>
              </w:rPr>
              <w:t xml:space="preserve"> (далее также – Объект культурного наследия)</w:t>
            </w:r>
            <w:r/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344 500 000,00</w:t>
            </w:r>
            <w:r/>
          </w:p>
        </w:tc>
        <w:tc>
          <w:tcPr>
            <w:tcW w:w="1966" w:type="dxa"/>
            <w:vAlign w:val="center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360 000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00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,00</w:t>
            </w:r>
            <w:r/>
          </w:p>
        </w:tc>
        <w:tc>
          <w:tcPr>
            <w:tcW w:w="1748" w:type="dxa"/>
            <w:vAlign w:val="center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356 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000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000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,00</w:t>
            </w:r>
            <w:r/>
          </w:p>
        </w:tc>
        <w:tc>
          <w:tcPr>
            <w:tcW w:w="1814" w:type="dxa"/>
            <w:vAlign w:val="center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353 500 000,00</w:t>
            </w:r>
            <w:r/>
          </w:p>
        </w:tc>
        <w:tc>
          <w:tcPr>
            <w:tcW w:w="879" w:type="dxa"/>
            <w:vAlign w:val="center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</w:t>
            </w:r>
            <w:r/>
          </w:p>
        </w:tc>
        <w:tc>
          <w:tcPr>
            <w:tcW w:w="1814" w:type="dxa"/>
            <w:vAlign w:val="center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353 500 000,00</w:t>
            </w:r>
            <w:r/>
          </w:p>
        </w:tc>
      </w:tr>
      <w:tr>
        <w:trPr/>
        <w:tc>
          <w:tcPr>
            <w:gridSpan w:val="7"/>
            <w:tcW w:w="12928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НМЦК</w:t>
            </w:r>
            <w:r/>
          </w:p>
        </w:tc>
        <w:tc>
          <w:tcPr>
            <w:tcW w:w="181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344 500 000,00</w:t>
            </w:r>
            <w:r/>
          </w:p>
        </w:tc>
      </w:tr>
    </w:tbl>
    <w:p>
      <w:pPr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На основании части 2 статьи 72 Бюджетного кодекса Российской Федерации принято решение установить НМЦК в соответствии с лимитами бюджетных обязательств -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344 500 000,00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*</w:t>
      </w:r>
      <w:r/>
    </w:p>
    <w:p>
      <w:pPr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</w:r>
      <w:r/>
    </w:p>
    <w:sectPr>
      <w:footnotePr/>
      <w:endnotePr/>
      <w:type w:val="nextPage"/>
      <w:pgSz w:w="16838" w:h="11906" w:orient="landscape"/>
      <w:pgMar w:top="709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411"/>
    <w:next w:val="411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412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411"/>
    <w:next w:val="411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412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411"/>
    <w:next w:val="411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412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411"/>
    <w:next w:val="411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412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411"/>
    <w:next w:val="411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412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411"/>
    <w:next w:val="411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412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411"/>
    <w:next w:val="411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412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411"/>
    <w:next w:val="411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412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411"/>
    <w:next w:val="411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412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411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411"/>
    <w:next w:val="411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412"/>
    <w:link w:val="32"/>
    <w:uiPriority w:val="10"/>
    <w:rPr>
      <w:sz w:val="48"/>
      <w:szCs w:val="48"/>
    </w:rPr>
  </w:style>
  <w:style w:type="paragraph" w:styleId="34">
    <w:name w:val="Subtitle"/>
    <w:basedOn w:val="411"/>
    <w:next w:val="411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412"/>
    <w:link w:val="34"/>
    <w:uiPriority w:val="11"/>
    <w:rPr>
      <w:sz w:val="24"/>
      <w:szCs w:val="24"/>
    </w:rPr>
  </w:style>
  <w:style w:type="paragraph" w:styleId="36">
    <w:name w:val="Quote"/>
    <w:basedOn w:val="411"/>
    <w:next w:val="411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411"/>
    <w:next w:val="411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411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412"/>
    <w:link w:val="40"/>
    <w:uiPriority w:val="99"/>
  </w:style>
  <w:style w:type="character" w:styleId="43">
    <w:name w:val="Footer Char"/>
    <w:basedOn w:val="412"/>
    <w:link w:val="423"/>
    <w:uiPriority w:val="99"/>
  </w:style>
  <w:style w:type="paragraph" w:styleId="44">
    <w:name w:val="Caption"/>
    <w:basedOn w:val="411"/>
    <w:next w:val="411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3"/>
    <w:uiPriority w:val="99"/>
  </w:style>
  <w:style w:type="table" w:styleId="47">
    <w:name w:val="Table Grid Light"/>
    <w:basedOn w:val="41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41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413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4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4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4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4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4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4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4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auto" w:fill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auto" w:fill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auto" w:fill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auto" w:fill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auto" w:fill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auto" w:fill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auto" w:fill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auto" w:fill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4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2">
    <w:name w:val="Lined - Accent 1"/>
    <w:basedOn w:val="4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3">
    <w:name w:val="Lined - Accent 2"/>
    <w:basedOn w:val="4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4">
    <w:name w:val="Lined - Accent 3"/>
    <w:basedOn w:val="4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55">
    <w:name w:val="Lined - Accent 4"/>
    <w:basedOn w:val="4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56">
    <w:name w:val="Lined - Accent 5"/>
    <w:basedOn w:val="4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57">
    <w:name w:val="Lined - Accent 6"/>
    <w:basedOn w:val="4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58">
    <w:name w:val="Bordered &amp; Lined - Accent"/>
    <w:basedOn w:val="4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9">
    <w:name w:val="Bordered &amp; Lined - Accent 1"/>
    <w:basedOn w:val="4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60">
    <w:name w:val="Bordered &amp; Lined - Accent 2"/>
    <w:basedOn w:val="4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61">
    <w:name w:val="Bordered &amp; Lined - Accent 3"/>
    <w:basedOn w:val="4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62">
    <w:name w:val="Bordered &amp; Lined - Accent 4"/>
    <w:basedOn w:val="4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63">
    <w:name w:val="Bordered &amp; Lined - Accent 5"/>
    <w:basedOn w:val="4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64">
    <w:name w:val="Bordered &amp; Lined - Accent 6"/>
    <w:basedOn w:val="4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65">
    <w:name w:val="Bordered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4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411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412"/>
    <w:uiPriority w:val="99"/>
    <w:unhideWhenUsed/>
    <w:rPr>
      <w:vertAlign w:val="superscript"/>
    </w:rPr>
  </w:style>
  <w:style w:type="paragraph" w:styleId="176">
    <w:name w:val="endnote text"/>
    <w:basedOn w:val="411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412"/>
    <w:uiPriority w:val="99"/>
    <w:semiHidden/>
    <w:unhideWhenUsed/>
    <w:rPr>
      <w:vertAlign w:val="superscript"/>
    </w:rPr>
  </w:style>
  <w:style w:type="paragraph" w:styleId="179">
    <w:name w:val="toc 1"/>
    <w:basedOn w:val="411"/>
    <w:next w:val="411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411"/>
    <w:next w:val="411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411"/>
    <w:next w:val="411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411"/>
    <w:next w:val="411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411"/>
    <w:next w:val="411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411"/>
    <w:next w:val="411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411"/>
    <w:next w:val="411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411"/>
    <w:next w:val="411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411"/>
    <w:next w:val="411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411" w:default="1">
    <w:name w:val="Normal"/>
    <w:qFormat/>
    <w:rPr>
      <w:sz w:val="22"/>
      <w:szCs w:val="22"/>
      <w:lang w:eastAsia="en-US"/>
    </w:rPr>
    <w:pPr>
      <w:spacing w:lineRule="auto" w:line="276" w:after="200"/>
    </w:pPr>
  </w:style>
  <w:style w:type="character" w:styleId="412" w:default="1">
    <w:name w:val="Default Paragraph Font"/>
    <w:uiPriority w:val="1"/>
    <w:unhideWhenUsed/>
  </w:style>
  <w:style w:type="table" w:styleId="4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14" w:default="1">
    <w:name w:val="No List"/>
    <w:uiPriority w:val="99"/>
    <w:semiHidden/>
    <w:unhideWhenUsed/>
  </w:style>
  <w:style w:type="paragraph" w:styleId="415" w:customStyle="1">
    <w:name w:val="Знак"/>
    <w:basedOn w:val="411"/>
    <w:uiPriority w:val="99"/>
    <w:rPr>
      <w:rFonts w:ascii="Tahoma" w:hAnsi="Tahoma" w:eastAsia="Times New Roman"/>
      <w:sz w:val="20"/>
      <w:szCs w:val="20"/>
      <w:lang w:val="en-US"/>
    </w:rPr>
    <w:pPr>
      <w:spacing w:lineRule="auto" w:line="240" w:after="100" w:afterAutospacing="1" w:before="100" w:beforeAutospacing="1"/>
    </w:pPr>
  </w:style>
  <w:style w:type="table" w:styleId="416">
    <w:name w:val="Table Grid"/>
    <w:basedOn w:val="413"/>
    <w:uiPriority w:val="9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character" w:styleId="417">
    <w:name w:val="Hyperlink"/>
    <w:uiPriority w:val="99"/>
    <w:rPr>
      <w:rFonts w:cs="Times New Roman"/>
      <w:color w:val="0000FF"/>
      <w:u w:val="single"/>
    </w:rPr>
  </w:style>
  <w:style w:type="paragraph" w:styleId="418" w:customStyle="1">
    <w:name w:val="Standard"/>
    <w:uiPriority w:val="99"/>
    <w:rPr>
      <w:rFonts w:ascii="Times New Roman" w:hAnsi="Times New Roman" w:cs="Tahoma"/>
      <w:sz w:val="24"/>
      <w:szCs w:val="24"/>
      <w:lang w:val="de-DE" w:bidi="fa-IR" w:eastAsia="fa-IR"/>
    </w:rPr>
    <w:pPr>
      <w:widowControl w:val="off"/>
    </w:pPr>
  </w:style>
  <w:style w:type="paragraph" w:styleId="419" w:customStyle="1">
    <w:name w:val="Таблицы (моноширинный)"/>
    <w:basedOn w:val="411"/>
    <w:next w:val="411"/>
    <w:uiPriority w:val="99"/>
    <w:rPr>
      <w:rFonts w:ascii="Courier New" w:hAnsi="Courier New" w:cs="Courier New" w:eastAsia="Times New Roman"/>
      <w:sz w:val="26"/>
      <w:szCs w:val="26"/>
      <w:lang w:eastAsia="ru-RU"/>
    </w:rPr>
    <w:pPr>
      <w:spacing w:lineRule="auto" w:line="240" w:after="0"/>
    </w:pPr>
  </w:style>
  <w:style w:type="paragraph" w:styleId="420" w:customStyle="1">
    <w:name w:val="ConsPlusCell"/>
    <w:uiPriority w:val="99"/>
    <w:rPr>
      <w:rFonts w:ascii="Arial" w:hAnsi="Arial" w:cs="Arial"/>
      <w:lang w:eastAsia="ar-SA"/>
    </w:rPr>
    <w:pPr>
      <w:widowControl w:val="off"/>
    </w:pPr>
  </w:style>
  <w:style w:type="paragraph" w:styleId="421">
    <w:name w:val="Body Text"/>
    <w:basedOn w:val="411"/>
    <w:link w:val="422"/>
    <w:uiPriority w:val="99"/>
    <w:rPr>
      <w:rFonts w:ascii="Times New Roman" w:hAnsi="Times New Roman" w:eastAsia="Times New Roman"/>
      <w:sz w:val="24"/>
      <w:szCs w:val="24"/>
    </w:rPr>
    <w:pPr>
      <w:spacing w:lineRule="auto" w:line="240" w:after="120"/>
    </w:pPr>
  </w:style>
  <w:style w:type="character" w:styleId="422" w:customStyle="1">
    <w:name w:val="Основной текст Знак"/>
    <w:link w:val="421"/>
    <w:uiPriority w:val="99"/>
    <w:rPr>
      <w:rFonts w:ascii="Times New Roman" w:hAnsi="Times New Roman" w:cs="Times New Roman"/>
      <w:sz w:val="24"/>
      <w:szCs w:val="24"/>
    </w:rPr>
  </w:style>
  <w:style w:type="paragraph" w:styleId="423">
    <w:name w:val="Footer"/>
    <w:basedOn w:val="411"/>
    <w:link w:val="424"/>
    <w:uiPriority w:val="99"/>
    <w:semiHidden/>
    <w:rPr>
      <w:rFonts w:eastAsia="Times New Roman"/>
      <w:lang w:eastAsia="ru-RU"/>
    </w:rPr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424" w:customStyle="1">
    <w:name w:val="Нижний колонтитул Знак"/>
    <w:link w:val="423"/>
    <w:uiPriority w:val="99"/>
    <w:semiHidden/>
    <w:rPr>
      <w:rFonts w:ascii="Calibri" w:hAnsi="Calibri" w:cs="Times New Roman"/>
      <w:lang w:eastAsia="ru-RU"/>
    </w:rPr>
  </w:style>
  <w:style w:type="character" w:styleId="425">
    <w:name w:val="FollowedHyperlink"/>
    <w:uiPriority w:val="99"/>
    <w:semiHidden/>
    <w:rPr>
      <w:rFonts w:cs="Times New Roman"/>
      <w:color w:val="800080"/>
      <w:u w:val="single"/>
    </w:rPr>
  </w:style>
  <w:style w:type="paragraph" w:styleId="426" w:customStyle="1">
    <w:name w:val="xl64"/>
    <w:basedOn w:val="411"/>
    <w:uiPriority w:val="99"/>
    <w:rPr>
      <w:rFonts w:ascii="Times New Roman" w:hAnsi="Times New Roman" w:eastAsia="Times New Roman"/>
      <w:sz w:val="16"/>
      <w:szCs w:val="16"/>
      <w:lang w:eastAsia="ru-RU"/>
    </w:rPr>
    <w:pPr>
      <w:jc w:val="center"/>
      <w:spacing w:lineRule="auto" w:line="240" w:after="100" w:afterAutospacing="1" w:before="100" w:beforeAutospacing="1"/>
    </w:pPr>
  </w:style>
  <w:style w:type="paragraph" w:styleId="427" w:customStyle="1">
    <w:name w:val="xl65"/>
    <w:basedOn w:val="411"/>
    <w:uiPriority w:val="99"/>
    <w:rPr>
      <w:rFonts w:ascii="Times New Roman" w:hAnsi="Times New Roman" w:eastAsia="Times New Roman"/>
      <w:sz w:val="16"/>
      <w:szCs w:val="16"/>
      <w:lang w:eastAsia="ru-RU"/>
    </w:rPr>
    <w:pPr>
      <w:jc w:val="center"/>
      <w:spacing w:lineRule="auto" w:line="240" w:after="100" w:afterAutospacing="1" w:before="100" w:beforeAutospacing="1"/>
    </w:pPr>
  </w:style>
  <w:style w:type="paragraph" w:styleId="428" w:customStyle="1">
    <w:name w:val="xl66"/>
    <w:basedOn w:val="411"/>
    <w:uiPriority w:val="99"/>
    <w:rPr>
      <w:rFonts w:ascii="Times New Roman" w:hAnsi="Times New Roman" w:eastAsia="Times New Roman"/>
      <w:sz w:val="16"/>
      <w:szCs w:val="16"/>
      <w:lang w:eastAsia="ru-RU"/>
    </w:rPr>
    <w:pPr>
      <w:spacing w:lineRule="auto" w:line="240" w:after="100" w:afterAutospacing="1" w:before="100" w:beforeAutospacing="1"/>
    </w:pPr>
  </w:style>
  <w:style w:type="paragraph" w:styleId="429" w:customStyle="1">
    <w:name w:val="xl67"/>
    <w:basedOn w:val="411"/>
    <w:uiPriority w:val="99"/>
    <w:rPr>
      <w:rFonts w:ascii="Times New Roman" w:hAnsi="Times New Roman" w:eastAsia="Times New Roman"/>
      <w:sz w:val="16"/>
      <w:szCs w:val="16"/>
      <w:lang w:eastAsia="ru-RU"/>
    </w:rPr>
    <w:pPr>
      <w:jc w:val="center"/>
      <w:spacing w:lineRule="auto" w:line="240" w:after="100" w:afterAutospacing="1" w:before="100" w:beforeAutospacing="1"/>
    </w:pPr>
  </w:style>
  <w:style w:type="paragraph" w:styleId="430" w:customStyle="1">
    <w:name w:val="xl68"/>
    <w:basedOn w:val="411"/>
    <w:uiPriority w:val="99"/>
    <w:rPr>
      <w:rFonts w:ascii="Times New Roman" w:hAnsi="Times New Roman" w:eastAsia="Times New Roman"/>
      <w:sz w:val="16"/>
      <w:szCs w:val="16"/>
      <w:lang w:eastAsia="ru-RU"/>
    </w:rPr>
    <w:pPr>
      <w:spacing w:lineRule="auto" w:line="240" w:after="100" w:afterAutospacing="1" w:before="100" w:beforeAutospacing="1"/>
    </w:pPr>
  </w:style>
  <w:style w:type="paragraph" w:styleId="431" w:customStyle="1">
    <w:name w:val="xl69"/>
    <w:basedOn w:val="411"/>
    <w:uiPriority w:val="99"/>
    <w:rPr>
      <w:rFonts w:ascii="Times New Roman" w:hAnsi="Times New Roman" w:eastAsia="Times New Roman"/>
      <w:sz w:val="24"/>
      <w:szCs w:val="24"/>
      <w:lang w:eastAsia="ru-RU"/>
    </w:rPr>
    <w:pPr>
      <w:jc w:val="center"/>
      <w:spacing w:lineRule="auto" w:line="240"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432" w:customStyle="1">
    <w:name w:val="xl70"/>
    <w:basedOn w:val="411"/>
    <w:uiPriority w:val="99"/>
    <w:rPr>
      <w:rFonts w:ascii="Times New Roman" w:hAnsi="Times New Roman" w:eastAsia="Times New Roman"/>
      <w:sz w:val="16"/>
      <w:szCs w:val="16"/>
      <w:lang w:eastAsia="ru-RU"/>
    </w:rPr>
    <w:pPr>
      <w:jc w:val="center"/>
      <w:spacing w:lineRule="auto" w:line="240"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433" w:customStyle="1">
    <w:name w:val="xl71"/>
    <w:basedOn w:val="411"/>
    <w:uiPriority w:val="99"/>
    <w:rPr>
      <w:rFonts w:ascii="Times New Roman" w:hAnsi="Times New Roman" w:eastAsia="Times New Roman"/>
      <w:sz w:val="24"/>
      <w:szCs w:val="24"/>
      <w:lang w:eastAsia="ru-RU"/>
    </w:rPr>
    <w:pPr>
      <w:jc w:val="center"/>
      <w:spacing w:lineRule="auto" w:line="240"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434" w:customStyle="1">
    <w:name w:val="xl72"/>
    <w:basedOn w:val="411"/>
    <w:uiPriority w:val="99"/>
    <w:rPr>
      <w:rFonts w:ascii="Times New Roman" w:hAnsi="Times New Roman" w:eastAsia="Times New Roman"/>
      <w:color w:val="000000"/>
      <w:sz w:val="24"/>
      <w:szCs w:val="24"/>
      <w:lang w:eastAsia="ru-RU"/>
    </w:rPr>
    <w:pPr>
      <w:spacing w:lineRule="auto" w:line="240"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435" w:customStyle="1">
    <w:name w:val="xl73"/>
    <w:basedOn w:val="411"/>
    <w:uiPriority w:val="99"/>
    <w:rPr>
      <w:rFonts w:ascii="Times New Roman" w:hAnsi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436" w:customStyle="1">
    <w:name w:val="xl74"/>
    <w:basedOn w:val="411"/>
    <w:uiPriority w:val="99"/>
    <w:rPr>
      <w:rFonts w:ascii="Times New Roman" w:hAnsi="Times New Roman" w:eastAsia="Times New Roman"/>
      <w:b/>
      <w:bCs/>
      <w:color w:val="000000"/>
      <w:sz w:val="20"/>
      <w:szCs w:val="20"/>
      <w:lang w:eastAsia="ru-RU"/>
    </w:rPr>
    <w:pPr>
      <w:jc w:val="center"/>
      <w:spacing w:lineRule="auto" w:line="240"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437" w:customStyle="1">
    <w:name w:val="xl75"/>
    <w:basedOn w:val="411"/>
    <w:uiPriority w:val="99"/>
    <w:rPr>
      <w:rFonts w:ascii="Times New Roman" w:hAnsi="Times New Roman" w:eastAsia="Times New Roman"/>
      <w:b/>
      <w:bCs/>
      <w:sz w:val="24"/>
      <w:szCs w:val="24"/>
      <w:lang w:eastAsia="ru-RU"/>
    </w:rPr>
    <w:pPr>
      <w:jc w:val="center"/>
      <w:spacing w:lineRule="auto" w:line="240"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438" w:customStyle="1">
    <w:name w:val="xl76"/>
    <w:basedOn w:val="411"/>
    <w:uiPriority w:val="99"/>
    <w:rPr>
      <w:rFonts w:ascii="Times New Roman" w:hAnsi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439" w:customStyle="1">
    <w:name w:val="xl77"/>
    <w:basedOn w:val="411"/>
    <w:uiPriority w:val="99"/>
    <w:rPr>
      <w:rFonts w:ascii="Times New Roman" w:hAnsi="Times New Roman" w:eastAsia="Times New Roman"/>
      <w:sz w:val="24"/>
      <w:szCs w:val="24"/>
      <w:lang w:eastAsia="ru-RU"/>
    </w:rPr>
    <w:pPr>
      <w:jc w:val="center"/>
      <w:spacing w:lineRule="auto" w:line="240"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440" w:customStyle="1">
    <w:name w:val="xl78"/>
    <w:basedOn w:val="411"/>
    <w:uiPriority w:val="99"/>
    <w:rPr>
      <w:rFonts w:ascii="Times New Roman" w:hAnsi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441" w:customStyle="1">
    <w:name w:val="xl79"/>
    <w:basedOn w:val="411"/>
    <w:uiPriority w:val="99"/>
    <w:rPr>
      <w:rFonts w:ascii="Times New Roman" w:hAnsi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442" w:customStyle="1">
    <w:name w:val="xl80"/>
    <w:basedOn w:val="411"/>
    <w:uiPriority w:val="99"/>
    <w:rPr>
      <w:rFonts w:ascii="Times New Roman" w:hAnsi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443" w:customStyle="1">
    <w:name w:val="xl81"/>
    <w:basedOn w:val="411"/>
    <w:uiPriority w:val="99"/>
    <w:rPr>
      <w:rFonts w:ascii="Times New Roman" w:hAnsi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444" w:customStyle="1">
    <w:name w:val="xl82"/>
    <w:basedOn w:val="411"/>
    <w:uiPriority w:val="99"/>
    <w:rPr>
      <w:rFonts w:ascii="Times New Roman" w:hAnsi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445" w:customStyle="1">
    <w:name w:val="xl83"/>
    <w:basedOn w:val="411"/>
    <w:uiPriority w:val="99"/>
    <w:rPr>
      <w:rFonts w:ascii="Times New Roman" w:hAnsi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446" w:customStyle="1">
    <w:name w:val="xl84"/>
    <w:basedOn w:val="411"/>
    <w:uiPriority w:val="99"/>
    <w:rPr>
      <w:rFonts w:ascii="Times New Roman" w:hAnsi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</w:pPr>
  </w:style>
  <w:style w:type="paragraph" w:styleId="447" w:customStyle="1">
    <w:name w:val="xl85"/>
    <w:basedOn w:val="411"/>
    <w:uiPriority w:val="99"/>
    <w:rPr>
      <w:rFonts w:ascii="Times New Roman" w:hAnsi="Times New Roman" w:eastAsia="Times New Roman"/>
      <w:sz w:val="16"/>
      <w:szCs w:val="16"/>
      <w:lang w:eastAsia="ru-RU"/>
    </w:rPr>
    <w:pPr>
      <w:jc w:val="center"/>
      <w:spacing w:lineRule="auto" w:line="240" w:after="100" w:afterAutospacing="1" w:before="100" w:beforeAutospacing="1"/>
    </w:pPr>
  </w:style>
  <w:style w:type="paragraph" w:styleId="448" w:customStyle="1">
    <w:name w:val="xl86"/>
    <w:basedOn w:val="411"/>
    <w:uiPriority w:val="99"/>
    <w:rPr>
      <w:rFonts w:ascii="Times New Roman" w:hAnsi="Times New Roman" w:eastAsia="Times New Roman"/>
      <w:sz w:val="20"/>
      <w:szCs w:val="20"/>
      <w:lang w:eastAsia="ru-RU"/>
    </w:rPr>
    <w:pPr>
      <w:jc w:val="center"/>
      <w:spacing w:lineRule="auto" w:line="240"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449" w:customStyle="1">
    <w:name w:val="xl87"/>
    <w:basedOn w:val="411"/>
    <w:uiPriority w:val="99"/>
    <w:rPr>
      <w:rFonts w:ascii="Times New Roman" w:hAnsi="Times New Roman" w:eastAsia="Times New Roman"/>
      <w:sz w:val="20"/>
      <w:szCs w:val="20"/>
      <w:lang w:eastAsia="ru-RU"/>
    </w:rPr>
    <w:pPr>
      <w:jc w:val="center"/>
      <w:spacing w:lineRule="auto" w:line="240"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character" w:styleId="450" w:customStyle="1">
    <w:name w:val="circus"/>
    <w:uiPriority w:val="99"/>
    <w:rPr>
      <w:rFonts w:cs="Times New Roman"/>
    </w:rPr>
  </w:style>
  <w:style w:type="paragraph" w:styleId="451">
    <w:name w:val="Normal (Web)"/>
    <w:basedOn w:val="411"/>
    <w:uiPriority w:val="99"/>
    <w:unhideWhenUsed/>
    <w:rPr>
      <w:rFonts w:ascii="Times New Roman" w:hAnsi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Р7-Офис/6.0.1.37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 к Информационной карте</dc:title>
  <dc:creator>Kirilets_VA</dc:creator>
  <cp:revision>4</cp:revision>
  <dcterms:created xsi:type="dcterms:W3CDTF">2025-05-26T12:53:00Z</dcterms:created>
  <dcterms:modified xsi:type="dcterms:W3CDTF">2025-05-27T08:47:36Z</dcterms:modified>
</cp:coreProperties>
</file>