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jc w:val="right"/>
        <w:rPr>
          <w:rFonts w:ascii="Times New Roman" w:hAnsi="Times New Roman" w:cs="Times New Roman"/>
          <w:i/>
          <w:sz w:val="24"/>
          <w:szCs w:val="24"/>
        </w:rPr>
      </w:pPr>
      <w:r>
        <w:rPr>
          <w:rFonts w:ascii="Times New Roman" w:hAnsi="Times New Roman" w:cs="Times New Roman"/>
          <w:i/>
          <w:sz w:val="24"/>
          <w:szCs w:val="24"/>
        </w:rPr>
      </w:r>
      <w:r/>
    </w:p>
    <w:tbl>
      <w:tblPr>
        <w:tblW w:w="31188" w:type="dxa"/>
        <w:tblInd w:w="-426" w:type="dxa"/>
        <w:tblLayout w:type="fixed"/>
        <w:tblCellMar>
          <w:left w:w="62" w:type="dxa"/>
          <w:top w:w="102" w:type="dxa"/>
          <w:right w:w="62" w:type="dxa"/>
          <w:bottom w:w="102" w:type="dxa"/>
        </w:tblCellMar>
        <w:tblLook w:val="0000" w:firstRow="0" w:lastRow="0" w:firstColumn="0" w:lastColumn="0" w:noHBand="0" w:noVBand="0"/>
      </w:tblPr>
      <w:tblGrid>
        <w:gridCol w:w="15594"/>
        <w:gridCol w:w="15594"/>
      </w:tblGrid>
      <w:tr>
        <w:trPr/>
        <w:tc>
          <w:tcPr>
            <w:tcBorders>
              <w:top w:val="none" w:color="000000" w:sz="4" w:space="0"/>
              <w:left w:val="none" w:color="000000" w:sz="4" w:space="0"/>
              <w:bottom w:val="none" w:color="000000" w:sz="4" w:space="0"/>
              <w:right w:val="none" w:color="000000" w:sz="4" w:space="0"/>
            </w:tcBorders>
            <w:tcW w:w="15594" w:type="dxa"/>
            <w:vAlign w:val="bottom"/>
            <w:textDirection w:val="lrTb"/>
            <w:noWrap w:val="false"/>
          </w:tcPr>
          <w:p>
            <w:pPr>
              <w:pStyle w:val="859"/>
              <w:jc w:val="center"/>
              <w:rPr>
                <w:rFonts w:ascii="Times New Roman" w:hAnsi="Times New Roman" w:cs="Times New Roman"/>
                <w:b/>
                <w:sz w:val="28"/>
                <w:szCs w:val="28"/>
              </w:rPr>
            </w:pPr>
            <w:r/>
            <w:bookmarkStart w:id="0" w:name="P266"/>
            <w:r/>
            <w:bookmarkEnd w:id="0"/>
            <w:r>
              <w:rPr>
                <w:rFonts w:ascii="Times New Roman" w:hAnsi="Times New Roman" w:cs="Times New Roman"/>
                <w:b/>
                <w:sz w:val="28"/>
                <w:szCs w:val="28"/>
              </w:rPr>
              <w:t xml:space="preserve">ПОРЯДОК</w:t>
            </w:r>
            <w:r/>
          </w:p>
          <w:p>
            <w:pPr>
              <w:pStyle w:val="859"/>
              <w:jc w:val="center"/>
              <w:rPr>
                <w:rFonts w:ascii="Times New Roman" w:hAnsi="Times New Roman" w:cs="Times New Roman"/>
                <w:b/>
                <w:sz w:val="24"/>
                <w:szCs w:val="24"/>
              </w:rPr>
            </w:pPr>
            <w:r>
              <w:rPr>
                <w:rFonts w:ascii="Times New Roman" w:hAnsi="Times New Roman" w:cs="Times New Roman"/>
                <w:b/>
                <w:sz w:val="28"/>
                <w:szCs w:val="28"/>
              </w:rPr>
              <w:t xml:space="preserve">рассмотрения и оценки заявок на участие в конкурсе</w:t>
            </w:r>
            <w:r/>
          </w:p>
        </w:tc>
        <w:tc>
          <w:tcPr>
            <w:tcBorders>
              <w:top w:val="none" w:color="000000" w:sz="4" w:space="0"/>
              <w:left w:val="none" w:color="000000" w:sz="4" w:space="0"/>
              <w:bottom w:val="none" w:color="000000" w:sz="4" w:space="0"/>
              <w:right w:val="none" w:color="000000" w:sz="4" w:space="0"/>
            </w:tcBorders>
            <w:tcW w:w="15594" w:type="dxa"/>
            <w:textDirection w:val="lrTb"/>
            <w:noWrap w:val="false"/>
          </w:tcPr>
          <w:p>
            <w:pPr>
              <w:pStyle w:val="859"/>
              <w:jc w:val="center"/>
              <w:rPr>
                <w:rFonts w:ascii="Times New Roman" w:hAnsi="Times New Roman" w:cs="Times New Roman"/>
                <w:b/>
                <w:sz w:val="28"/>
                <w:szCs w:val="28"/>
              </w:rPr>
            </w:pPr>
            <w:r>
              <w:rPr>
                <w:rFonts w:ascii="Times New Roman" w:hAnsi="Times New Roman" w:cs="Times New Roman"/>
                <w:b/>
                <w:sz w:val="28"/>
                <w:szCs w:val="28"/>
              </w:rPr>
            </w:r>
            <w:r/>
          </w:p>
        </w:tc>
      </w:tr>
      <w:tr>
        <w:trPr/>
        <w:tc>
          <w:tcPr>
            <w:tcBorders>
              <w:top w:val="none" w:color="000000" w:sz="4" w:space="0"/>
              <w:left w:val="none" w:color="000000" w:sz="4" w:space="0"/>
              <w:bottom w:val="none" w:color="000000" w:sz="4" w:space="0"/>
              <w:right w:val="none" w:color="000000" w:sz="4" w:space="0"/>
            </w:tcBorders>
            <w:tcW w:w="15594" w:type="dxa"/>
            <w:textDirection w:val="lrTb"/>
            <w:noWrap w:val="false"/>
          </w:tcPr>
          <w:p>
            <w:pPr>
              <w:pStyle w:val="859"/>
              <w:jc w:val="center"/>
              <w:rPr>
                <w:rFonts w:ascii="Times New Roman" w:hAnsi="Times New Roman" w:cs="Times New Roman"/>
                <w:sz w:val="24"/>
                <w:szCs w:val="24"/>
              </w:rPr>
              <w:outlineLvl w:val="2"/>
            </w:pPr>
            <w:r/>
            <w:bookmarkStart w:id="1" w:name="P268"/>
            <w:r/>
            <w:bookmarkEnd w:id="1"/>
            <w:r/>
            <w:r/>
          </w:p>
          <w:p>
            <w:pPr>
              <w:pStyle w:val="859"/>
              <w:jc w:val="center"/>
              <w:rPr>
                <w:rFonts w:ascii="Times New Roman" w:hAnsi="Times New Roman" w:cs="Times New Roman"/>
                <w:sz w:val="24"/>
                <w:szCs w:val="24"/>
              </w:rPr>
              <w:outlineLvl w:val="2"/>
            </w:pPr>
            <w:r>
              <w:rPr>
                <w:rFonts w:ascii="Times New Roman" w:hAnsi="Times New Roman" w:cs="Times New Roman"/>
                <w:sz w:val="24"/>
                <w:szCs w:val="24"/>
              </w:rPr>
            </w:r>
            <w:r/>
          </w:p>
          <w:p>
            <w:pPr>
              <w:ind w:left="-346" w:firstLine="346"/>
              <w:jc w:val="center"/>
              <w:spacing w:after="0" w:line="240" w:lineRule="auto"/>
              <w:tabs>
                <w:tab w:val="left" w:pos="-360" w:leader="none"/>
                <w:tab w:val="left" w:pos="360" w:leader="none"/>
                <w:tab w:val="left" w:pos="14822"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p>
            <w:pPr>
              <w:jc w:val="center"/>
              <w:spacing w:after="0" w:line="240" w:lineRule="auto"/>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val="en-US" w:eastAsia="ru-RU"/>
              </w:rPr>
              <w:t xml:space="preserve">I</w:t>
            </w:r>
            <w:r>
              <w:rPr>
                <w:rFonts w:ascii="Times New Roman" w:hAnsi="Times New Roman" w:eastAsia="Times New Roman" w:cs="Times New Roman"/>
                <w:sz w:val="24"/>
                <w:szCs w:val="24"/>
                <w:lang w:eastAsia="ru-RU"/>
              </w:rPr>
              <w:t xml:space="preserve">. Информация о заказчике и закупке товаров, работ, услуг </w:t>
            </w:r>
            <w:r/>
          </w:p>
          <w:p>
            <w:pPr>
              <w:jc w:val="center"/>
              <w:spacing w:after="0" w:line="240" w:lineRule="auto"/>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для обеспечения государственных и муниципальных нужд (далее закупка)</w:t>
            </w:r>
            <w:r/>
          </w:p>
          <w:p>
            <w:pPr>
              <w:jc w:val="center"/>
              <w:spacing w:after="0" w:line="240" w:lineRule="auto"/>
              <w:tabs>
                <w:tab w:val="left" w:pos="-360" w:leader="none"/>
                <w:tab w:val="left" w:pos="360" w:leader="none"/>
              </w:tabs>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r>
            <w:r/>
          </w:p>
          <w:tbl>
            <w:tblPr>
              <w:tblStyle w:val="869"/>
              <w:tblW w:w="155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091"/>
              <w:gridCol w:w="4479"/>
              <w:gridCol w:w="1985"/>
              <w:gridCol w:w="2976"/>
            </w:tblGrid>
            <w:tr>
              <w:trPr/>
              <w:tc>
                <w:tcPr>
                  <w:tcW w:w="6091" w:type="dxa"/>
                  <w:vAlign w:val="bottom"/>
                  <w:vMerge w:val="restart"/>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Полное наименование</w:t>
                  </w:r>
                  <w:r/>
                </w:p>
              </w:tc>
              <w:tc>
                <w:tcPr>
                  <w:tcW w:w="4479" w:type="dxa"/>
                  <w:vMerge w:val="restart"/>
                  <w:textDirection w:val="lrTb"/>
                  <w:noWrap w:val="false"/>
                </w:tcPr>
                <w:p>
                  <w:pPr>
                    <w:jc w:val="both"/>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cs="Times New Roman"/>
                      <w:sz w:val="24"/>
                      <w:szCs w:val="24"/>
                    </w:rPr>
                    <w:t xml:space="preserve">Смоленское областное государственное бюджет-ное учреждение «Социально-оздоровительный центр «Голоевка»</w:t>
                  </w:r>
                  <w:r/>
                </w:p>
              </w:tc>
              <w:tc>
                <w:tcPr>
                  <w:tcBorders>
                    <w:right w:val="single" w:color="auto" w:sz="4" w:space="0"/>
                  </w:tcBorders>
                  <w:tcW w:w="1985"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top w:val="single" w:color="auto" w:sz="4" w:space="0"/>
                    <w:left w:val="single" w:color="auto" w:sz="4" w:space="0"/>
                    <w:bottom w:val="single" w:color="auto" w:sz="4" w:space="0"/>
                    <w:right w:val="single" w:color="auto" w:sz="4" w:space="0"/>
                  </w:tcBorders>
                  <w:tcW w:w="2976"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Коды </w:t>
                  </w:r>
                  <w:r/>
                </w:p>
              </w:tc>
            </w:tr>
            <w:tr>
              <w:trPr/>
              <w:tc>
                <w:tcPr>
                  <w:tcW w:w="6091" w:type="dxa"/>
                  <w:vMerge w:val="continue"/>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W w:w="4479" w:type="dxa"/>
                  <w:vMerge w:val="continue"/>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ИНН</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val="en-US" w:eastAsia="ru-RU"/>
                    </w:rPr>
                  </w:pPr>
                  <w:r>
                    <w:rPr>
                      <w:rFonts w:ascii="Times New Roman" w:hAnsi="Times New Roman" w:eastAsia="Times New Roman" w:cs="Times New Roman"/>
                      <w:sz w:val="24"/>
                      <w:szCs w:val="24"/>
                      <w:lang w:val="en-US" w:eastAsia="ru-RU"/>
                    </w:rPr>
                    <w:t xml:space="preserve">6</w:t>
                  </w:r>
                  <w:r>
                    <w:rPr>
                      <w:rFonts w:ascii="Times New Roman" w:hAnsi="Times New Roman" w:eastAsia="Times New Roman" w:cs="Times New Roman"/>
                      <w:sz w:val="24"/>
                      <w:szCs w:val="24"/>
                      <w:lang w:val="en-US" w:eastAsia="ru-RU"/>
                    </w:rPr>
                    <w:t xml:space="preserve">732067438</w:t>
                  </w:r>
                  <w:r/>
                </w:p>
              </w:tc>
            </w:tr>
            <w:tr>
              <w:trPr/>
              <w:tc>
                <w:tcPr>
                  <w:tcW w:w="6091" w:type="dxa"/>
                  <w:vMerge w:val="continue"/>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bottom w:val="single" w:color="auto" w:sz="4" w:space="0"/>
                  </w:tcBorders>
                  <w:tcW w:w="4479" w:type="dxa"/>
                  <w:vMerge w:val="continue"/>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КПП</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672</w:t>
                  </w:r>
                  <w:r>
                    <w:rPr>
                      <w:rFonts w:ascii="Times New Roman" w:hAnsi="Times New Roman" w:eastAsia="Times New Roman" w:cs="Times New Roman"/>
                      <w:sz w:val="24"/>
                      <w:szCs w:val="24"/>
                      <w:lang w:val="en-US" w:eastAsia="ru-RU"/>
                    </w:rPr>
                    <w:t xml:space="preserve">5</w:t>
                  </w:r>
                  <w:r>
                    <w:rPr>
                      <w:rFonts w:ascii="Times New Roman" w:hAnsi="Times New Roman" w:eastAsia="Times New Roman" w:cs="Times New Roman"/>
                      <w:sz w:val="24"/>
                      <w:szCs w:val="24"/>
                      <w:lang w:eastAsia="ru-RU"/>
                    </w:rPr>
                    <w:t xml:space="preserve">01001</w:t>
                  </w:r>
                  <w:r/>
                </w:p>
              </w:tc>
            </w:tr>
            <w:tr>
              <w:trPr/>
              <w:tc>
                <w:tcPr>
                  <w:tcW w:w="6091" w:type="dxa"/>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Место нахождения, телефон, адрес электронной почты</w:t>
                  </w:r>
                  <w:r/>
                </w:p>
              </w:tc>
              <w:tc>
                <w:tcPr>
                  <w:tcBorders>
                    <w:top w:val="single" w:color="auto" w:sz="4" w:space="0"/>
                    <w:bottom w:val="single" w:color="auto" w:sz="4" w:space="0"/>
                  </w:tcBorders>
                  <w:tcW w:w="4479" w:type="dxa"/>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p>
                  <w:pPr>
                    <w:jc w:val="both"/>
                    <w:tabs>
                      <w:tab w:val="left" w:pos="-360" w:leader="none"/>
                      <w:tab w:val="left" w:pos="360" w:leader="none"/>
                    </w:tabs>
                    <w:rPr>
                      <w:rFonts w:ascii="Times New Roman" w:hAnsi="Times New Roman" w:eastAsia="Times New Roman" w:cs="Times New Roman"/>
                      <w:bCs/>
                      <w:sz w:val="23"/>
                      <w:szCs w:val="23"/>
                      <w:lang w:eastAsia="ru-RU"/>
                    </w:rPr>
                  </w:pPr>
                  <w:r>
                    <w:rPr>
                      <w:rFonts w:ascii="Times New Roman" w:hAnsi="Times New Roman" w:eastAsia="Times New Roman" w:cs="Times New Roman"/>
                      <w:bCs/>
                      <w:sz w:val="23"/>
                      <w:szCs w:val="23"/>
                      <w:lang w:eastAsia="ru-RU"/>
                    </w:rPr>
                    <w:t xml:space="preserve">216548, Смоленская обл.,               Рославльский р-он, д. Профилакторий ЗИЛ</w:t>
                  </w:r>
                  <w:r/>
                </w:p>
                <w:p>
                  <w:pPr>
                    <w:jc w:val="both"/>
                    <w:tabs>
                      <w:tab w:val="left" w:pos="-360" w:leader="none"/>
                      <w:tab w:val="left" w:pos="360" w:leader="none"/>
                    </w:tabs>
                    <w:rPr>
                      <w:rFonts w:ascii="Times New Roman" w:hAnsi="Times New Roman" w:eastAsia="Times New Roman" w:cs="Times New Roman"/>
                      <w:bCs/>
                      <w:sz w:val="23"/>
                      <w:szCs w:val="23"/>
                      <w:lang w:eastAsia="ru-RU"/>
                    </w:rPr>
                  </w:pPr>
                  <w:r>
                    <w:rPr>
                      <w:rFonts w:ascii="Times New Roman" w:hAnsi="Times New Roman" w:eastAsia="Times New Roman" w:cs="Times New Roman"/>
                      <w:bCs/>
                      <w:sz w:val="23"/>
                      <w:szCs w:val="23"/>
                      <w:lang w:eastAsia="ru-RU"/>
                    </w:rPr>
                    <w:t xml:space="preserve">Адрес  электронной почты: goloevka.z@mail.ru</w:t>
                  </w:r>
                  <w:r/>
                </w:p>
              </w:tc>
              <w:tc>
                <w:tcPr>
                  <w:tcBorders>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по ОКТМО</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666364</w:t>
                  </w:r>
                  <w:r>
                    <w:rPr>
                      <w:rFonts w:ascii="Times New Roman" w:hAnsi="Times New Roman" w:eastAsia="Times New Roman" w:cs="Times New Roman"/>
                      <w:sz w:val="24"/>
                      <w:szCs w:val="24"/>
                      <w:lang w:eastAsia="ru-RU"/>
                    </w:rPr>
                    <w:t xml:space="preserve">70126</w:t>
                  </w:r>
                  <w:r/>
                </w:p>
              </w:tc>
            </w:tr>
            <w:tr>
              <w:trPr/>
              <w:tc>
                <w:tcPr>
                  <w:tcW w:w="6091" w:type="dxa"/>
                  <w:vMerge w:val="restart"/>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r/>
                </w:p>
              </w:tc>
              <w:tc>
                <w:tcPr>
                  <w:tcBorders>
                    <w:top w:val="single" w:color="auto" w:sz="4" w:space="0"/>
                    <w:bottom w:val="single" w:color="auto" w:sz="4" w:space="0"/>
                  </w:tcBorders>
                  <w:tcW w:w="4479" w:type="dxa"/>
                  <w:vMerge w:val="restart"/>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ИНН</w:t>
                  </w:r>
                  <w:r/>
                </w:p>
              </w:tc>
              <w:tc>
                <w:tcPr>
                  <w:tcBorders>
                    <w:top w:val="single" w:color="auto" w:sz="4" w:space="0"/>
                    <w:left w:val="single" w:color="auto" w:sz="4" w:space="0"/>
                    <w:bottom w:val="single" w:color="auto" w:sz="4" w:space="0"/>
                    <w:right w:val="single" w:color="auto" w:sz="4" w:space="0"/>
                  </w:tcBorders>
                  <w:tcW w:w="2976"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r>
            <w:tr>
              <w:trPr>
                <w:trHeight w:val="562"/>
              </w:trPr>
              <w:tc>
                <w:tcPr>
                  <w:tcW w:w="6091" w:type="dxa"/>
                  <w:vMerge w:val="continue"/>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bottom w:val="single" w:color="auto" w:sz="4" w:space="0"/>
                  </w:tcBorders>
                  <w:tcW w:w="4479" w:type="dxa"/>
                  <w:vMerge w:val="continue"/>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КПП</w:t>
                  </w:r>
                  <w:r/>
                </w:p>
              </w:tc>
              <w:tc>
                <w:tcPr>
                  <w:tcBorders>
                    <w:top w:val="single" w:color="auto" w:sz="4" w:space="0"/>
                    <w:left w:val="single" w:color="auto" w:sz="4" w:space="0"/>
                    <w:right w:val="single" w:color="auto" w:sz="4" w:space="0"/>
                  </w:tcBorders>
                  <w:tcW w:w="2976"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r>
            <w:tr>
              <w:trPr/>
              <w:tc>
                <w:tcPr>
                  <w:tcW w:w="6091" w:type="dxa"/>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Место нахождения, телефон, адрес электронной почты</w:t>
                  </w:r>
                  <w:r/>
                </w:p>
              </w:tc>
              <w:tc>
                <w:tcPr>
                  <w:tcBorders>
                    <w:top w:val="single" w:color="auto" w:sz="4" w:space="0"/>
                    <w:bottom w:val="single" w:color="auto" w:sz="4" w:space="0"/>
                  </w:tcBorders>
                  <w:tcW w:w="4479"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c>
                <w:tcPr>
                  <w:tcBorders>
                    <w:bottom w:val="single" w:color="auto" w:sz="4" w:space="0"/>
                    <w:right w:val="single" w:color="auto" w:sz="4" w:space="0"/>
                  </w:tcBorders>
                  <w:tcW w:w="1985" w:type="dxa"/>
                  <w:textDirection w:val="lrTb"/>
                  <w:noWrap w:val="false"/>
                </w:tcPr>
                <w:p>
                  <w:pPr>
                    <w:jc w:val="right"/>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по ОКТМО</w:t>
                  </w:r>
                  <w:r/>
                </w:p>
              </w:tc>
              <w:tc>
                <w:tcPr>
                  <w:tcBorders>
                    <w:top w:val="single" w:color="auto" w:sz="4" w:space="0"/>
                    <w:left w:val="single" w:color="auto" w:sz="4" w:space="0"/>
                    <w:bottom w:val="single" w:color="auto" w:sz="4" w:space="0"/>
                    <w:right w:val="single" w:color="auto" w:sz="4" w:space="0"/>
                  </w:tcBorders>
                  <w:tcW w:w="2976" w:type="dxa"/>
                  <w:textDirection w:val="lrTb"/>
                  <w:noWrap w:val="false"/>
                </w:tcPr>
                <w:p>
                  <w:pPr>
                    <w:jc w:val="cente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p>
              </w:tc>
            </w:tr>
            <w:tr>
              <w:trPr/>
              <w:tc>
                <w:tcPr>
                  <w:tcW w:w="6091" w:type="dxa"/>
                  <w:textDirection w:val="lrTb"/>
                  <w:noWrap w:val="false"/>
                </w:tcPr>
                <w:p>
                  <w:pPr>
                    <w:tabs>
                      <w:tab w:val="left" w:pos="-360" w:leader="none"/>
                      <w:tab w:val="left" w:pos="360" w:leader="none"/>
                    </w:tabs>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Наименование объекта закупки</w:t>
                  </w:r>
                  <w:r/>
                </w:p>
              </w:tc>
              <w:tc>
                <w:tcPr>
                  <w:gridSpan w:val="3"/>
                  <w:tcBorders>
                    <w:bottom w:val="single" w:color="auto" w:sz="4" w:space="0"/>
                    <w:right w:val="single" w:color="auto" w:sz="4" w:space="0"/>
                  </w:tcBorders>
                  <w:tcW w:w="9440" w:type="dxa"/>
                  <w:textDirection w:val="lrTb"/>
                  <w:noWrap w:val="false"/>
                </w:tcPr>
                <w:p>
                  <w:pPr>
                    <w:jc w:val="both"/>
                    <w:tabs>
                      <w:tab w:val="left" w:pos="284" w:leader="none"/>
                    </w:tabs>
                    <w:rPr>
                      <w:rFonts w:ascii="Times New Roman" w:hAnsi="Times New Roman" w:eastAsia="Times New Roman" w:cs="Times New Roman"/>
                      <w:b/>
                      <w:sz w:val="24"/>
                      <w:szCs w:val="24"/>
                      <w:highlight w:val="yellow"/>
                      <w:lang w:eastAsia="ru-RU"/>
                    </w:rPr>
                  </w:pPr>
                  <w:r>
                    <w:rPr>
                      <w:rFonts w:ascii="Times New Roman" w:hAnsi="Times New Roman"/>
                      <w:bCs/>
                      <w:sz w:val="24"/>
                      <w:szCs w:val="24"/>
                    </w:rPr>
                    <w:t xml:space="preserve">Выполнение работ по капитальному ремонту административно-лечебного корпуса  </w:t>
                  </w:r>
                  <w:bookmarkStart w:id="2" w:name="_GoBack"/>
                  <w:r/>
                  <w:bookmarkEnd w:id="2"/>
                  <w:r>
                    <w:rPr>
                      <w:rFonts w:ascii="Times New Roman" w:hAnsi="Times New Roman"/>
                      <w:bCs/>
                      <w:sz w:val="24"/>
                      <w:szCs w:val="24"/>
                    </w:rPr>
                    <w:t xml:space="preserve">СОГБУ «СОЦ «Голоевка»</w:t>
                  </w:r>
                  <w:r>
                    <w:rPr>
                      <w:rFonts w:ascii="Times New Roman" w:hAnsi="Times New Roman"/>
                      <w:bCs/>
                      <w:sz w:val="24"/>
                      <w:szCs w:val="24"/>
                    </w:rPr>
                    <w:t xml:space="preserve"> </w:t>
                  </w:r>
                  <w:r>
                    <w:rPr>
                      <w:rFonts w:ascii="Times New Roman" w:hAnsi="Times New Roman"/>
                      <w:bCs/>
                      <w:sz w:val="24"/>
                      <w:szCs w:val="24"/>
                    </w:rPr>
                    <w:t xml:space="preserve">по адресу:</w:t>
                  </w:r>
                  <w:r>
                    <w:t xml:space="preserve"> </w:t>
                  </w:r>
                  <w:r>
                    <w:rPr>
                      <w:rFonts w:ascii="Times New Roman" w:hAnsi="Times New Roman"/>
                      <w:bCs/>
                      <w:sz w:val="24"/>
                      <w:szCs w:val="24"/>
                    </w:rPr>
                    <w:t xml:space="preserve">216548, Смоленская </w:t>
                  </w:r>
                  <w:r>
                    <w:rPr>
                      <w:rFonts w:ascii="Times New Roman" w:hAnsi="Times New Roman"/>
                      <w:bCs/>
                      <w:sz w:val="24"/>
                      <w:szCs w:val="24"/>
                    </w:rPr>
                    <w:t xml:space="preserve">обл.,   </w:t>
                  </w:r>
                  <w:r>
                    <w:rPr>
                      <w:rFonts w:ascii="Times New Roman" w:hAnsi="Times New Roman"/>
                      <w:bCs/>
                      <w:sz w:val="24"/>
                      <w:szCs w:val="24"/>
                    </w:rPr>
                    <w:t xml:space="preserve"> Рославльский р-он, д.Профилакторий ЗИЛ</w:t>
                  </w:r>
                  <w:r/>
                </w:p>
              </w:tc>
            </w:tr>
          </w:tbl>
          <w:p>
            <w:pPr>
              <w:pStyle w:val="859"/>
              <w:rPr>
                <w:rFonts w:ascii="Times New Roman" w:hAnsi="Times New Roman" w:cs="Times New Roman"/>
                <w:sz w:val="24"/>
                <w:szCs w:val="24"/>
              </w:rPr>
              <w:outlineLvl w:val="2"/>
            </w:pPr>
            <w:r>
              <w:rPr>
                <w:rFonts w:ascii="Times New Roman" w:hAnsi="Times New Roman" w:cs="Times New Roman"/>
                <w:sz w:val="24"/>
                <w:szCs w:val="24"/>
              </w:rPr>
            </w:r>
            <w:r/>
          </w:p>
          <w:p>
            <w:pPr>
              <w:pStyle w:val="859"/>
              <w:rPr>
                <w:rFonts w:ascii="Times New Roman" w:hAnsi="Times New Roman" w:cs="Times New Roman"/>
                <w:sz w:val="24"/>
                <w:szCs w:val="24"/>
              </w:rPr>
              <w:outlineLvl w:val="2"/>
            </w:pPr>
            <w:r>
              <w:rPr>
                <w:rFonts w:ascii="Times New Roman" w:hAnsi="Times New Roman" w:cs="Times New Roman"/>
                <w:sz w:val="24"/>
                <w:szCs w:val="24"/>
              </w:rPr>
            </w:r>
            <w:r/>
          </w:p>
        </w:tc>
        <w:tc>
          <w:tcPr>
            <w:tcBorders>
              <w:top w:val="none" w:color="000000" w:sz="4" w:space="0"/>
              <w:left w:val="none" w:color="000000" w:sz="4" w:space="0"/>
              <w:bottom w:val="none" w:color="000000" w:sz="4" w:space="0"/>
              <w:right w:val="none" w:color="000000" w:sz="4" w:space="0"/>
            </w:tcBorders>
            <w:tcW w:w="15594" w:type="dxa"/>
            <w:textDirection w:val="lrTb"/>
            <w:noWrap w:val="false"/>
          </w:tcPr>
          <w:p>
            <w:pPr>
              <w:pStyle w:val="859"/>
              <w:jc w:val="center"/>
              <w:rPr>
                <w:rFonts w:ascii="Times New Roman" w:hAnsi="Times New Roman" w:cs="Times New Roman"/>
                <w:sz w:val="24"/>
                <w:szCs w:val="24"/>
              </w:rPr>
              <w:outlineLvl w:val="2"/>
            </w:pPr>
            <w:r>
              <w:rPr>
                <w:rFonts w:ascii="Times New Roman" w:hAnsi="Times New Roman" w:cs="Times New Roman"/>
                <w:sz w:val="24"/>
                <w:szCs w:val="24"/>
              </w:rPr>
            </w:r>
            <w:r/>
          </w:p>
        </w:tc>
      </w:tr>
    </w:tbl>
    <w:p>
      <w:pPr>
        <w:pStyle w:val="859"/>
        <w:jc w:val="both"/>
        <w:rPr>
          <w:rFonts w:ascii="Times New Roman" w:hAnsi="Times New Roman" w:cs="Times New Roman"/>
          <w:sz w:val="28"/>
          <w:szCs w:val="28"/>
        </w:rPr>
      </w:pPr>
      <w:r>
        <w:rPr>
          <w:rFonts w:ascii="Times New Roman" w:hAnsi="Times New Roman" w:cs="Times New Roman"/>
          <w:sz w:val="28"/>
          <w:szCs w:val="28"/>
        </w:rPr>
      </w:r>
      <w:r/>
    </w:p>
    <w:p>
      <w:pPr>
        <w:pStyle w:val="859"/>
        <w:jc w:val="both"/>
        <w:rPr>
          <w:rFonts w:ascii="Times New Roman" w:hAnsi="Times New Roman" w:cs="Times New Roman"/>
          <w:b/>
          <w:sz w:val="24"/>
          <w:szCs w:val="24"/>
        </w:rPr>
      </w:pPr>
      <w:r/>
      <w:bookmarkStart w:id="3" w:name="P306"/>
      <w:r/>
      <w:bookmarkEnd w:id="3"/>
      <w:r>
        <w:rPr>
          <w:rFonts w:ascii="Times New Roman" w:hAnsi="Times New Roman" w:cs="Times New Roman"/>
          <w:sz w:val="24"/>
          <w:szCs w:val="24"/>
          <w:lang w:val="en-US"/>
        </w:rPr>
        <w:t xml:space="preserve">II</w:t>
      </w:r>
      <w:r>
        <w:rPr>
          <w:rFonts w:ascii="Times New Roman" w:hAnsi="Times New Roman" w:cs="Times New Roman"/>
          <w:sz w:val="24"/>
          <w:szCs w:val="24"/>
        </w:rPr>
        <w:t xml:space="preserve">. Критерии и показатели оценки заявок на участие в закупке</w:t>
      </w:r>
      <w:r/>
    </w:p>
    <w:p>
      <w:pPr>
        <w:pStyle w:val="859"/>
        <w:jc w:val="both"/>
        <w:rPr>
          <w:rFonts w:ascii="Times New Roman" w:hAnsi="Times New Roman" w:cs="Times New Roman"/>
          <w:sz w:val="20"/>
        </w:rPr>
      </w:pPr>
      <w:r>
        <w:rPr>
          <w:rFonts w:ascii="Times New Roman" w:hAnsi="Times New Roman" w:cs="Times New Roman"/>
          <w:sz w:val="20"/>
        </w:rPr>
      </w:r>
      <w:r/>
    </w:p>
    <w:tbl>
      <w:tblPr>
        <w:tblpPr w:horzAnchor="text" w:tblpXSpec="right" w:vertAnchor="text" w:tblpY="1" w:leftFromText="180" w:topFromText="0" w:rightFromText="180" w:bottomFromText="0"/>
        <w:tblW w:w="15163"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454"/>
        <w:gridCol w:w="2093"/>
        <w:gridCol w:w="1559"/>
        <w:gridCol w:w="1418"/>
        <w:gridCol w:w="1417"/>
        <w:gridCol w:w="1985"/>
        <w:gridCol w:w="1842"/>
        <w:gridCol w:w="4395"/>
      </w:tblGrid>
      <w:tr>
        <w:trPr/>
        <w:tc>
          <w:tcPr>
            <w:tcBorders>
              <w:top w:val="single" w:color="auto" w:sz="4" w:space="0"/>
              <w:left w:val="single" w:color="auto" w:sz="4" w:space="0"/>
              <w:bottom w:val="single" w:color="auto" w:sz="4" w:space="0"/>
            </w:tcBorders>
            <w:tcW w:w="454"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w:t>
            </w:r>
            <w:r/>
          </w:p>
        </w:tc>
        <w:tc>
          <w:tcPr>
            <w:tcBorders>
              <w:top w:val="single" w:color="auto" w:sz="4" w:space="0"/>
              <w:bottom w:val="single" w:color="auto" w:sz="4" w:space="0"/>
            </w:tcBorders>
            <w:tcW w:w="2093"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Критерий оценки</w:t>
            </w:r>
            <w:r/>
          </w:p>
        </w:tc>
        <w:tc>
          <w:tcPr>
            <w:tcBorders>
              <w:top w:val="single" w:color="auto" w:sz="4" w:space="0"/>
              <w:bottom w:val="single" w:color="auto" w:sz="4" w:space="0"/>
            </w:tcBorders>
            <w:tcW w:w="1559"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Значимость критерия оценки, процентов</w:t>
            </w:r>
            <w:r/>
          </w:p>
        </w:tc>
        <w:tc>
          <w:tcPr>
            <w:tcBorders>
              <w:top w:val="single" w:color="auto" w:sz="4" w:space="0"/>
              <w:bottom w:val="single" w:color="auto" w:sz="4" w:space="0"/>
            </w:tcBorders>
            <w:tcW w:w="1418"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Показатель оценки</w:t>
            </w:r>
            <w:r/>
          </w:p>
        </w:tc>
        <w:tc>
          <w:tcPr>
            <w:tcBorders>
              <w:top w:val="single" w:color="auto" w:sz="4" w:space="0"/>
              <w:bottom w:val="single" w:color="auto" w:sz="4" w:space="0"/>
            </w:tcBorders>
            <w:tcW w:w="1417"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Значимость показателя оценки, процентов</w:t>
            </w:r>
            <w:r/>
          </w:p>
        </w:tc>
        <w:tc>
          <w:tcPr>
            <w:tcBorders>
              <w:top w:val="single" w:color="auto" w:sz="4" w:space="0"/>
              <w:bottom w:val="single" w:color="auto" w:sz="4" w:space="0"/>
            </w:tcBorders>
            <w:tcW w:w="1985"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Показатель оценки, детализирующий показатель оценки</w:t>
            </w:r>
            <w:r/>
          </w:p>
        </w:tc>
        <w:tc>
          <w:tcPr>
            <w:tcBorders>
              <w:top w:val="single" w:color="auto" w:sz="4" w:space="0"/>
              <w:bottom w:val="single" w:color="auto" w:sz="4" w:space="0"/>
            </w:tcBorders>
            <w:tcW w:w="1842"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Значимость показателя, детализирующего показатель оценки, процентов</w:t>
            </w:r>
            <w:r/>
          </w:p>
        </w:tc>
        <w:tc>
          <w:tcPr>
            <w:tcBorders>
              <w:top w:val="single" w:color="auto" w:sz="4" w:space="0"/>
              <w:bottom w:val="single" w:color="auto" w:sz="4" w:space="0"/>
              <w:right w:val="single" w:color="auto" w:sz="4" w:space="0"/>
            </w:tcBorders>
            <w:tcW w:w="4395" w:type="dxa"/>
            <w:textDirection w:val="lrTb"/>
            <w:noWrap w:val="false"/>
          </w:tcPr>
          <w:p>
            <w:pPr>
              <w:pStyle w:val="859"/>
              <w:jc w:val="center"/>
              <w:rPr>
                <w:rFonts w:ascii="Times New Roman" w:hAnsi="Times New Roman" w:cs="Times New Roman"/>
                <w:b/>
                <w:sz w:val="20"/>
              </w:rPr>
            </w:pPr>
            <w:r>
              <w:rPr>
                <w:rFonts w:ascii="Times New Roman" w:hAnsi="Times New Roman" w:cs="Times New Roman"/>
                <w:b/>
                <w:sz w:val="20"/>
              </w:rPr>
              <w:t xml:space="preserve">Формула оценки или шкала оценки</w:t>
            </w:r>
            <w:r/>
          </w:p>
        </w:tc>
      </w:tr>
      <w:tr>
        <w:trPr/>
        <w:tc>
          <w:tcPr>
            <w:tcBorders>
              <w:top w:val="single" w:color="auto" w:sz="4" w:space="0"/>
              <w:left w:val="single" w:color="auto" w:sz="4" w:space="0"/>
              <w:bottom w:val="single" w:color="auto" w:sz="4" w:space="0"/>
            </w:tcBorders>
            <w:tcW w:w="454"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1</w:t>
            </w:r>
            <w:r/>
          </w:p>
        </w:tc>
        <w:tc>
          <w:tcPr>
            <w:tcBorders>
              <w:top w:val="single" w:color="auto" w:sz="4" w:space="0"/>
              <w:bottom w:val="single" w:color="auto" w:sz="4" w:space="0"/>
            </w:tcBorders>
            <w:tcW w:w="2093"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Цена контракта, сумма цен единиц товара, работы, услуги</w:t>
            </w:r>
            <w:r/>
          </w:p>
          <w:p>
            <w:pPr>
              <w:pStyle w:val="859"/>
              <w:jc w:val="center"/>
              <w:rPr>
                <w:rFonts w:ascii="Times New Roman" w:hAnsi="Times New Roman" w:cs="Times New Roman"/>
                <w:sz w:val="20"/>
              </w:rPr>
            </w:pPr>
            <w:r>
              <w:rPr>
                <w:rFonts w:ascii="Times New Roman" w:hAnsi="Times New Roman" w:cs="Times New Roman"/>
                <w:sz w:val="20"/>
              </w:rPr>
            </w:r>
            <w:r/>
          </w:p>
        </w:tc>
        <w:tc>
          <w:tcPr>
            <w:tcBorders>
              <w:top w:val="single" w:color="auto" w:sz="4" w:space="0"/>
              <w:bottom w:val="single" w:color="auto" w:sz="4" w:space="0"/>
            </w:tcBorders>
            <w:tcW w:w="1559" w:type="dxa"/>
            <w:textDirection w:val="lrTb"/>
            <w:noWrap w:val="false"/>
          </w:tcPr>
          <w:p>
            <w:pPr>
              <w:pStyle w:val="859"/>
              <w:tabs>
                <w:tab w:val="left" w:pos="600" w:leader="none"/>
                <w:tab w:val="center" w:pos="717" w:leader="none"/>
              </w:tabs>
              <w:rPr>
                <w:rFonts w:ascii="Times New Roman" w:hAnsi="Times New Roman" w:cs="Times New Roman"/>
                <w:sz w:val="20"/>
              </w:rPr>
            </w:pPr>
            <w:r>
              <w:rPr>
                <w:rFonts w:ascii="Times New Roman" w:hAnsi="Times New Roman" w:cs="Times New Roman"/>
                <w:color w:val="000000" w:themeColor="text1"/>
                <w:sz w:val="20"/>
              </w:rPr>
              <w:tab/>
            </w:r>
            <w:r>
              <w:rPr>
                <w:rFonts w:ascii="Times New Roman" w:hAnsi="Times New Roman" w:cs="Times New Roman"/>
                <w:color w:val="000000" w:themeColor="text1"/>
                <w:sz w:val="20"/>
              </w:rPr>
              <w:tab/>
            </w:r>
            <w:hyperlink w:tooltip="#P466" w:anchor="P466" w:history="1">
              <w:r>
                <w:rPr>
                  <w:rFonts w:ascii="Times New Roman" w:hAnsi="Times New Roman" w:cs="Times New Roman"/>
                  <w:color w:val="000000" w:themeColor="text1"/>
                  <w:sz w:val="20"/>
                </w:rPr>
                <w:t xml:space="preserve">60</w:t>
              </w:r>
            </w:hyperlink>
            <w:r/>
            <w:r/>
          </w:p>
        </w:tc>
        <w:tc>
          <w:tcPr>
            <w:tcBorders>
              <w:top w:val="single" w:color="auto" w:sz="4" w:space="0"/>
              <w:bottom w:val="single" w:color="auto" w:sz="4" w:space="0"/>
            </w:tcBorders>
            <w:tcW w:w="1418"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w:t>
            </w:r>
            <w:r/>
          </w:p>
        </w:tc>
        <w:tc>
          <w:tcPr>
            <w:tcBorders>
              <w:top w:val="single" w:color="auto" w:sz="4" w:space="0"/>
              <w:bottom w:val="single" w:color="auto" w:sz="4" w:space="0"/>
            </w:tcBorders>
            <w:tcW w:w="1417"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w:t>
            </w:r>
            <w:r/>
          </w:p>
        </w:tc>
        <w:tc>
          <w:tcPr>
            <w:tcBorders>
              <w:top w:val="single" w:color="auto" w:sz="4" w:space="0"/>
              <w:bottom w:val="single" w:color="auto" w:sz="4" w:space="0"/>
            </w:tcBorders>
            <w:tcW w:w="1985"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w:t>
            </w:r>
            <w:r/>
          </w:p>
        </w:tc>
        <w:tc>
          <w:tcPr>
            <w:tcBorders>
              <w:top w:val="single" w:color="auto" w:sz="4" w:space="0"/>
              <w:bottom w:val="single" w:color="auto" w:sz="4" w:space="0"/>
            </w:tcBorders>
            <w:tcW w:w="1842"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w:t>
            </w:r>
            <w:r/>
          </w:p>
        </w:tc>
        <w:tc>
          <w:tcPr>
            <w:tcBorders>
              <w:top w:val="single" w:color="auto" w:sz="4" w:space="0"/>
              <w:bottom w:val="single" w:color="auto" w:sz="4" w:space="0"/>
              <w:right w:val="single" w:color="auto" w:sz="4" w:space="0"/>
            </w:tcBorders>
            <w:tcW w:w="4395" w:type="dxa"/>
            <w:textDirection w:val="lrTb"/>
            <w:noWrap w:val="false"/>
          </w:tcPr>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оценка заявок осуществляется по формулам, предусмотренным </w:t>
            </w:r>
            <w:hyperlink w:tooltip="#P88" w:anchor="P88" w:history="1">
              <w:r>
                <w:rPr>
                  <w:rFonts w:ascii="Times New Roman" w:hAnsi="Times New Roman" w:cs="Times New Roman" w:eastAsiaTheme="minorEastAsia"/>
                  <w:color w:val="000000" w:themeColor="text1"/>
                  <w:sz w:val="20"/>
                  <w:szCs w:val="20"/>
                  <w:lang w:eastAsia="ru-RU"/>
                </w:rPr>
                <w:t xml:space="preserve">пунктами 9</w:t>
              </w:r>
            </w:hyperlink>
            <w:r>
              <w:rPr>
                <w:rFonts w:ascii="Times New Roman" w:hAnsi="Times New Roman" w:cs="Times New Roman" w:eastAsiaTheme="minorEastAsia"/>
                <w:color w:val="000000" w:themeColor="text1"/>
                <w:sz w:val="20"/>
                <w:szCs w:val="20"/>
                <w:lang w:eastAsia="ru-RU"/>
              </w:rPr>
              <w:t xml:space="preserve"> или </w:t>
            </w:r>
            <w:hyperlink w:tooltip="#P104" w:anchor="P104" w:history="1">
              <w:r>
                <w:rPr>
                  <w:rFonts w:ascii="Times New Roman" w:hAnsi="Times New Roman" w:cs="Times New Roman" w:eastAsiaTheme="minorEastAsia"/>
                  <w:color w:val="000000" w:themeColor="text1"/>
                  <w:sz w:val="20"/>
                  <w:szCs w:val="20"/>
                  <w:lang w:eastAsia="ru-RU"/>
                </w:rPr>
                <w:t xml:space="preserve">10</w:t>
              </w:r>
            </w:hyperlink>
            <w:r>
              <w:rPr>
                <w:rFonts w:ascii="Times New Roman" w:hAnsi="Times New Roman" w:cs="Times New Roman" w:eastAsiaTheme="minorEastAsia"/>
                <w:color w:val="000000" w:themeColor="text1"/>
                <w:sz w:val="20"/>
                <w:szCs w:val="20"/>
                <w:lang w:eastAsia="ru-RU"/>
              </w:rPr>
              <w:t xml:space="preserve"> </w:t>
            </w:r>
            <w:r>
              <w:rPr>
                <w:rFonts w:ascii="Times New Roman" w:hAnsi="Times New Roman" w:cs="Times New Roman" w:eastAsiaTheme="minorEastAsia"/>
                <w:sz w:val="20"/>
                <w:szCs w:val="20"/>
                <w:lang w:eastAsia="ru-RU"/>
              </w:rPr>
              <w:t xml:space="preserve">Положения об оценке заявок на участие в закупке товаров, работ, у</w:t>
            </w:r>
            <w:r>
              <w:rPr>
                <w:rFonts w:ascii="Times New Roman" w:hAnsi="Times New Roman" w:cs="Times New Roman" w:eastAsiaTheme="minorEastAsia"/>
                <w:sz w:val="20"/>
                <w:szCs w:val="20"/>
                <w:lang w:eastAsia="ru-RU"/>
              </w:rPr>
              <w:t xml:space="preserve">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w:t>
            </w:r>
            <w:r>
              <w:rPr>
                <w:rFonts w:ascii="Times New Roman" w:hAnsi="Times New Roman" w:cs="Times New Roman" w:eastAsiaTheme="minorEastAsia"/>
                <w:sz w:val="20"/>
                <w:szCs w:val="20"/>
                <w:lang w:eastAsia="ru-RU"/>
              </w:rPr>
              <w:t xml:space="preserve">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r/>
          </w:p>
          <w:p>
            <w:pPr>
              <w:jc w:val="both"/>
              <w:spacing w:after="0" w:line="240" w:lineRule="auto"/>
              <w:widowControl w:val="off"/>
              <w:rPr>
                <w:rFonts w:ascii="Times New Roman" w:hAnsi="Times New Roman" w:cs="Times New Roman" w:eastAsiaTheme="minorEastAsia"/>
                <w:b/>
                <w:sz w:val="20"/>
                <w:szCs w:val="20"/>
                <w:lang w:eastAsia="ru-RU"/>
              </w:rPr>
            </w:pPr>
            <w:r>
              <w:rPr>
                <w:rFonts w:ascii="Times New Roman" w:hAnsi="Times New Roman" w:cs="Times New Roman" w:eastAsiaTheme="minorEastAsia"/>
                <w:b/>
                <w:sz w:val="20"/>
                <w:szCs w:val="20"/>
                <w:lang w:eastAsia="ru-RU"/>
              </w:rPr>
              <w:t xml:space="preserve">Согласно пункту 9 Положения:</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w:t>
            </w:r>
            <w:r>
              <w:rPr>
                <w:rFonts w:ascii="Times New Roman" w:hAnsi="Times New Roman" w:cs="Times New Roman" w:eastAsiaTheme="minorEastAsia"/>
                <w:sz w:val="20"/>
                <w:szCs w:val="20"/>
                <w:lang w:eastAsia="ru-RU"/>
              </w:rPr>
              <w:t xml:space="preserve">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указанному критерию оценки, (БЦi) определяется по одной из следующих формул:</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а) за исключением случаев, предусмотренных подпунктом "б" настоящего пункта и пунктом 10 настоящего Положения, - по формуле:</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center"/>
              <w:spacing w:after="0" w:line="240" w:lineRule="auto"/>
              <w:widowControl w:val="off"/>
              <w:rPr>
                <w:rFonts w:ascii="Times New Roman" w:hAnsi="Times New Roman" w:cs="Times New Roman" w:eastAsiaTheme="minorEastAsia"/>
                <w:sz w:val="20"/>
                <w:szCs w:val="20"/>
                <w:lang w:eastAsia="ru-RU"/>
              </w:rPr>
            </w:pPr>
            <w:r>
              <w:rPr>
                <w:lang w:eastAsia="ru-RU"/>
              </w:rPr>
              <mc:AlternateContent>
                <mc:Choice Requires="wpg">
                  <w:drawing>
                    <wp:inline xmlns:wp="http://schemas.openxmlformats.org/drawingml/2006/wordprocessingDrawing" distT="0" distB="0" distL="0" distR="0">
                      <wp:extent cx="1704975" cy="447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7228" name=""/>
                              <pic:cNvPicPr>
                                <a:picLocks noChangeAspect="1"/>
                              </pic:cNvPicPr>
                              <pic:nvPr/>
                            </pic:nvPicPr>
                            <pic:blipFill>
                              <a:blip r:embed="rId11"/>
                              <a:stretch/>
                            </pic:blipFill>
                            <pic:spPr bwMode="auto">
                              <a:xfrm>
                                <a:off x="0" y="0"/>
                                <a:ext cx="1704974" cy="447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4.2pt;height:35.2pt;mso-wrap-distance-left:0.0pt;mso-wrap-distance-top:0.0pt;mso-wrap-distance-right:0.0pt;mso-wrap-distance-bottom:0.0pt;" stroked="false">
                      <v:path textboxrect="0,0,0,0"/>
                      <v:imagedata r:id="rId11" o:title=""/>
                    </v:shape>
                  </w:pict>
                </mc:Fallback>
              </mc:AlternateConten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где:</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Цi - предложение участника закупки о цене контракта,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Цл - наилучшее ценовое предложение из числа предложенных в соответствии с Федеральным </w:t>
            </w:r>
            <w:r>
              <w:rPr>
                <w:rFonts w:ascii="Times New Roman" w:hAnsi="Times New Roman" w:cs="Times New Roman" w:eastAsiaTheme="minorEastAsia"/>
                <w:sz w:val="20"/>
                <w:szCs w:val="20"/>
                <w:lang w:eastAsia="ru-RU"/>
              </w:rPr>
              <w:t xml:space="preserve">законом участниками закупки, заявки (части заявки) которых подлежат оценке по критерию оценки "цена контракта, сумма цен единиц товара, работы, услуги".</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w:t>
            </w:r>
            <w:r>
              <w:rPr>
                <w:rFonts w:ascii="Times New Roman" w:hAnsi="Times New Roman" w:cs="Times New Roman" w:eastAsiaTheme="minorEastAsia"/>
                <w:sz w:val="20"/>
                <w:szCs w:val="20"/>
                <w:lang w:eastAsia="ru-RU"/>
              </w:rPr>
              <w:t xml:space="preserve">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r/>
          </w:p>
          <w:p>
            <w:pPr>
              <w:jc w:val="center"/>
              <w:spacing w:after="0" w:line="240" w:lineRule="auto"/>
              <w:widowControl w:val="off"/>
              <w:rPr>
                <w:rFonts w:eastAsiaTheme="minorEastAsia"/>
              </w:rPr>
            </w:pPr>
            <w:r>
              <w:rPr>
                <w:lang w:eastAsia="ru-RU"/>
              </w:rPr>
              <mc:AlternateContent>
                <mc:Choice Requires="wpg">
                  <w:drawing>
                    <wp:inline xmlns:wp="http://schemas.openxmlformats.org/drawingml/2006/wordprocessingDrawing" distT="0" distB="0" distL="0" distR="0">
                      <wp:extent cx="2076450" cy="3714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8038" name=""/>
                              <pic:cNvPicPr>
                                <a:picLocks noChangeAspect="1"/>
                              </pic:cNvPicPr>
                              <pic:nvPr/>
                            </pic:nvPicPr>
                            <pic:blipFill>
                              <a:blip r:embed="rId12"/>
                              <a:stretch/>
                            </pic:blipFill>
                            <pic:spPr bwMode="auto">
                              <a:xfrm>
                                <a:off x="0" y="0"/>
                                <a:ext cx="2076449" cy="371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3.5pt;height:29.2pt;mso-wrap-distance-left:0.0pt;mso-wrap-distance-top:0.0pt;mso-wrap-distance-right:0.0pt;mso-wrap-distance-bottom:0.0pt;" stroked="false">
                      <v:path textboxrect="0,0,0,0"/>
                      <v:imagedata r:id="rId12" o:title=""/>
                    </v:shape>
                  </w:pict>
                </mc:Fallback>
              </mc:AlternateContent>
            </w:r>
            <w:r/>
          </w:p>
          <w:p>
            <w:pPr>
              <w:jc w:val="center"/>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где Цнач - начальная (максимальная) цена контракта (пп. "б" введен ПП РФ от 31.10.2022 N 1946)</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both"/>
              <w:spacing w:after="0" w:line="240" w:lineRule="auto"/>
              <w:widowControl w:val="off"/>
              <w:rPr>
                <w:rFonts w:ascii="Times New Roman" w:hAnsi="Times New Roman" w:cs="Times New Roman" w:eastAsiaTheme="minorEastAsia"/>
                <w:b/>
                <w:sz w:val="20"/>
                <w:szCs w:val="20"/>
                <w:lang w:eastAsia="ru-RU"/>
              </w:rPr>
            </w:pPr>
            <w:r>
              <w:rPr>
                <w:rFonts w:ascii="Times New Roman" w:hAnsi="Times New Roman" w:cs="Times New Roman" w:eastAsiaTheme="minorEastAsia"/>
                <w:b/>
                <w:sz w:val="20"/>
                <w:szCs w:val="20"/>
                <w:lang w:eastAsia="ru-RU"/>
              </w:rPr>
              <w:t xml:space="preserve">Согласно пункту 10 Положения:</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Если при проведении процедуры подачи предложений о цене контракта в соо</w:t>
            </w:r>
            <w:r>
              <w:rPr>
                <w:rFonts w:ascii="Times New Roman" w:hAnsi="Times New Roman" w:cs="Times New Roman" w:eastAsiaTheme="minorEastAsia"/>
                <w:sz w:val="20"/>
                <w:szCs w:val="20"/>
                <w:lang w:eastAsia="ru-RU"/>
              </w:rPr>
              <w:t xml:space="preserve">тветствии с Федеральным законом подано ценовое предложение, предусматривающее снижение цены контракта ниже нуля, значение количества баллов по критерию оценки "цена контракта, сумма цен единиц товара, работы, услуги" (БЦi) определяется в следующем порядке:</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а) для подлежащей в соответствии с Федеральным законом оценке заявки участника </w:t>
            </w:r>
            <w:r>
              <w:rPr>
                <w:rFonts w:ascii="Times New Roman" w:hAnsi="Times New Roman" w:cs="Times New Roman" w:eastAsiaTheme="minorEastAsia"/>
                <w:sz w:val="20"/>
                <w:szCs w:val="20"/>
                <w:lang w:eastAsia="ru-RU"/>
              </w:rPr>
              <w:t xml:space="preserve">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center"/>
              <w:spacing w:after="0" w:line="240" w:lineRule="auto"/>
              <w:widowControl w:val="off"/>
              <w:rPr>
                <w:rFonts w:ascii="Times New Roman" w:hAnsi="Times New Roman" w:cs="Times New Roman" w:eastAsiaTheme="minorEastAsia"/>
                <w:sz w:val="20"/>
                <w:szCs w:val="20"/>
                <w:lang w:eastAsia="ru-RU"/>
              </w:rPr>
            </w:pPr>
            <w:r>
              <w:rPr>
                <w:lang w:eastAsia="ru-RU"/>
              </w:rPr>
              <mc:AlternateContent>
                <mc:Choice Requires="wpg">
                  <w:drawing>
                    <wp:inline xmlns:wp="http://schemas.openxmlformats.org/drawingml/2006/wordprocessingDrawing" distT="0" distB="0" distL="0" distR="0">
                      <wp:extent cx="2133600" cy="4476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60904" name=""/>
                              <pic:cNvPicPr>
                                <a:picLocks noChangeAspect="1"/>
                              </pic:cNvPicPr>
                              <pic:nvPr/>
                            </pic:nvPicPr>
                            <pic:blipFill>
                              <a:blip r:embed="rId13"/>
                              <a:stretch/>
                            </pic:blipFill>
                            <pic:spPr bwMode="auto">
                              <a:xfrm>
                                <a:off x="0" y="0"/>
                                <a:ext cx="2133599" cy="447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8.0pt;height:35.2pt;mso-wrap-distance-left:0.0pt;mso-wrap-distance-top:0.0pt;mso-wrap-distance-right:0.0pt;mso-wrap-distance-bottom:0.0pt;" stroked="false">
                      <v:path textboxrect="0,0,0,0"/>
                      <v:imagedata r:id="rId13" o:title=""/>
                    </v:shape>
                  </w:pict>
                </mc:Fallback>
              </mc:AlternateConten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(в ред. ПП РФ от 31.10.2022 N 1946)</w:t>
            </w:r>
            <w:r/>
          </w:p>
          <w:p>
            <w:pPr>
              <w:jc w:val="both"/>
              <w:spacing w:after="0" w:line="240" w:lineRule="auto"/>
              <w:widowControl w:val="off"/>
              <w:rPr>
                <w:rFonts w:ascii="Times New Roman" w:hAnsi="Times New Roman" w:cs="Times New Roman" w:eastAsiaTheme="minorEastAsia"/>
                <w:sz w:val="20"/>
                <w:szCs w:val="20"/>
                <w:lang w:eastAsia="ru-RU"/>
              </w:rPr>
            </w:pPr>
            <w:r>
              <w:rPr>
                <w:rFonts w:ascii="Times New Roman" w:hAnsi="Times New Roman" w:cs="Times New Roman" w:eastAsiaTheme="minorEastAsia"/>
                <w:sz w:val="20"/>
                <w:szCs w:val="20"/>
                <w:lang w:eastAsia="ru-RU"/>
              </w:rPr>
              <w:t xml:space="preserve">б) для подлежащей в соответствии с Федеральным законом оценке заявки участни</w:t>
            </w:r>
            <w:r>
              <w:rPr>
                <w:rFonts w:ascii="Times New Roman" w:hAnsi="Times New Roman" w:cs="Times New Roman" w:eastAsiaTheme="minorEastAsia"/>
                <w:sz w:val="20"/>
                <w:szCs w:val="20"/>
                <w:lang w:eastAsia="ru-RU"/>
              </w:rPr>
              <w:t xml:space="preserve">ка закупки, ценовое предложение которого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p>
          <w:p>
            <w:pPr>
              <w:jc w:val="center"/>
              <w:spacing w:after="0" w:line="240" w:lineRule="auto"/>
              <w:rPr>
                <w:rFonts w:ascii="Times New Roman" w:hAnsi="Times New Roman" w:cs="Times New Roman"/>
                <w:bCs/>
                <w:sz w:val="20"/>
                <w:szCs w:val="20"/>
              </w:rPr>
            </w:pPr>
            <w:r>
              <w:rPr>
                <w:lang w:eastAsia="ru-RU"/>
              </w:rPr>
              <mc:AlternateContent>
                <mc:Choice Requires="wpg">
                  <w:drawing>
                    <wp:inline xmlns:wp="http://schemas.openxmlformats.org/drawingml/2006/wordprocessingDrawing" distT="0" distB="0" distL="0" distR="0">
                      <wp:extent cx="1885950" cy="447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71172" name=""/>
                              <pic:cNvPicPr>
                                <a:picLocks noChangeAspect="1"/>
                              </pic:cNvPicPr>
                              <pic:nvPr/>
                            </pic:nvPicPr>
                            <pic:blipFill>
                              <a:blip r:embed="rId14"/>
                              <a:stretch/>
                            </pic:blipFill>
                            <pic:spPr bwMode="auto">
                              <a:xfrm>
                                <a:off x="0" y="0"/>
                                <a:ext cx="1885950" cy="447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35.2pt;mso-wrap-distance-left:0.0pt;mso-wrap-distance-top:0.0pt;mso-wrap-distance-right:0.0pt;mso-wrap-distance-bottom:0.0pt;" stroked="false">
                      <v:path textboxrect="0,0,0,0"/>
                      <v:imagedata r:id="rId14" o:title=""/>
                    </v:shape>
                  </w:pict>
                </mc:Fallback>
              </mc:AlternateContent>
            </w:r>
            <w:r/>
          </w:p>
        </w:tc>
      </w:tr>
      <w:tr>
        <w:trPr>
          <w:trHeight w:val="884"/>
        </w:trPr>
        <w:tc>
          <w:tcPr>
            <w:tcBorders>
              <w:top w:val="single" w:color="auto" w:sz="4" w:space="0"/>
              <w:left w:val="single" w:color="auto" w:sz="4" w:space="0"/>
            </w:tcBorders>
            <w:tcW w:w="454" w:type="dxa"/>
            <w:vAlign w:val="center"/>
            <w:vMerge w:val="restart"/>
            <w:textDirection w:val="lrTb"/>
            <w:noWrap w:val="false"/>
          </w:tcPr>
          <w:p>
            <w:pPr>
              <w:pStyle w:val="859"/>
              <w:rPr>
                <w:rFonts w:ascii="Times New Roman" w:hAnsi="Times New Roman" w:cs="Times New Roman"/>
                <w:sz w:val="20"/>
              </w:rPr>
            </w:pPr>
            <w:r>
              <w:rPr>
                <w:rFonts w:ascii="Times New Roman" w:hAnsi="Times New Roman" w:cs="Times New Roman"/>
                <w:sz w:val="20"/>
              </w:rPr>
              <w:t xml:space="preserve">2</w:t>
            </w:r>
            <w:r/>
          </w:p>
        </w:tc>
        <w:tc>
          <w:tcPr>
            <w:tcBorders>
              <w:top w:val="single" w:color="auto" w:sz="4" w:space="0"/>
            </w:tcBorders>
            <w:tcW w:w="2093" w:type="dxa"/>
            <w:vAlign w:val="center"/>
            <w:vMerge w:val="restart"/>
            <w:textDirection w:val="lrTb"/>
            <w:noWrap w:val="false"/>
          </w:tcPr>
          <w:p>
            <w:pPr>
              <w:pStyle w:val="859"/>
              <w:jc w:val="both"/>
              <w:rPr>
                <w:rFonts w:ascii="Times New Roman" w:hAnsi="Times New Roman" w:cs="Times New Roman"/>
                <w:sz w:val="20"/>
              </w:rPr>
            </w:pPr>
            <w:r>
              <w:rPr>
                <w:rFonts w:ascii="Times New Roman" w:hAnsi="Times New Roman" w:cs="Times New Roman"/>
                <w:sz w:val="20"/>
              </w:rPr>
              <w:t xml:space="preserve">Квалификация участников закупки, в том числе наличие </w:t>
            </w:r>
            <w:r>
              <w:rPr>
                <w:rFonts w:ascii="Times New Roman" w:hAnsi="Times New Roman" w:cs="Times New Roman"/>
                <w:sz w:val="20"/>
              </w:rPr>
              <w:t xml:space="preserve">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p>
        </w:tc>
        <w:tc>
          <w:tcPr>
            <w:tcBorders>
              <w:top w:val="single" w:color="auto" w:sz="4" w:space="0"/>
            </w:tcBorders>
            <w:tcW w:w="1559" w:type="dxa"/>
            <w:vAlign w:val="center"/>
            <w:vMerge w:val="restart"/>
            <w:textDirection w:val="lrTb"/>
            <w:noWrap w:val="false"/>
          </w:tcPr>
          <w:p>
            <w:pPr>
              <w:pStyle w:val="859"/>
              <w:jc w:val="center"/>
              <w:rPr>
                <w:rFonts w:ascii="Times New Roman" w:hAnsi="Times New Roman" w:cs="Times New Roman"/>
                <w:color w:val="000000" w:themeColor="text1"/>
                <w:sz w:val="20"/>
              </w:rPr>
            </w:pPr>
            <w:r/>
            <w:hyperlink w:tooltip="#P466" w:anchor="P466" w:history="1">
              <w:r>
                <w:rPr>
                  <w:rFonts w:ascii="Times New Roman" w:hAnsi="Times New Roman" w:cs="Times New Roman" w:eastAsiaTheme="minorEastAsia"/>
                  <w:color w:val="000000" w:themeColor="text1"/>
                  <w:sz w:val="20"/>
                </w:rPr>
                <w:t xml:space="preserve">40</w:t>
              </w:r>
            </w:hyperlink>
            <w:r/>
            <w:r/>
          </w:p>
        </w:tc>
        <w:tc>
          <w:tcPr>
            <w:tcBorders>
              <w:top w:val="single" w:color="auto" w:sz="4" w:space="0"/>
            </w:tcBorders>
            <w:tcW w:w="1418" w:type="dxa"/>
            <w:vAlign w:val="center"/>
            <w:vMerge w:val="restart"/>
            <w:textDirection w:val="lrTb"/>
            <w:noWrap w:val="false"/>
          </w:tcPr>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наличие у участников закупки опыта работы, связанного с предметом контракта</w:t>
            </w:r>
            <w:r/>
          </w:p>
        </w:tc>
        <w:tc>
          <w:tcPr>
            <w:tcBorders>
              <w:top w:val="single" w:color="auto" w:sz="4" w:space="0"/>
              <w:bottom w:val="single" w:color="auto" w:sz="4" w:space="0"/>
            </w:tcBorders>
            <w:tcW w:w="1417" w:type="dxa"/>
            <w:vAlign w:val="center"/>
            <w:textDirection w:val="lrTb"/>
            <w:noWrap w:val="false"/>
          </w:tcPr>
          <w:p>
            <w:pPr>
              <w:pStyle w:val="859"/>
              <w:jc w:val="center"/>
              <w:rPr>
                <w:rFonts w:ascii="Times New Roman" w:hAnsi="Times New Roman" w:cs="Times New Roman"/>
                <w:color w:val="000000" w:themeColor="text1"/>
                <w:sz w:val="20"/>
              </w:rPr>
            </w:pPr>
            <w:r/>
            <w:hyperlink w:tooltip="#P466" w:anchor="P466" w:history="1">
              <w:r>
                <w:rPr>
                  <w:rFonts w:ascii="Times New Roman" w:hAnsi="Times New Roman" w:cs="Times New Roman" w:eastAsiaTheme="minorEastAsia"/>
                  <w:color w:val="000000" w:themeColor="text1"/>
                  <w:sz w:val="20"/>
                </w:rPr>
                <w:t xml:space="preserve">100</w:t>
              </w:r>
            </w:hyperlink>
            <w:r/>
            <w:r/>
          </w:p>
        </w:tc>
        <w:tc>
          <w:tcPr>
            <w:tcBorders>
              <w:top w:val="single" w:color="auto" w:sz="4" w:space="0"/>
              <w:bottom w:val="single" w:color="auto" w:sz="4" w:space="0"/>
            </w:tcBorders>
            <w:tcW w:w="1985" w:type="dxa"/>
            <w:vAlign w:val="center"/>
            <w:textDirection w:val="lrTb"/>
            <w:noWrap w:val="false"/>
          </w:tcPr>
          <w:p>
            <w:pPr>
              <w:jc w:val="center"/>
              <w:spacing w:after="0" w:line="240" w:lineRule="auto"/>
              <w:widowControl w:val="off"/>
              <w:rPr>
                <w:rFonts w:ascii="Times New Roman" w:hAnsi="Times New Roman" w:eastAsia="Times New Roman" w:cs="Times New Roman"/>
                <w:color w:val="000000" w:themeColor="text1"/>
                <w:sz w:val="20"/>
                <w:szCs w:val="20"/>
                <w:lang w:eastAsia="ru-RU"/>
              </w:rPr>
            </w:pPr>
            <w:r>
              <w:rPr>
                <w:rFonts w:ascii="Times New Roman" w:hAnsi="Times New Roman" w:eastAsia="Times New Roman" w:cs="Times New Roman"/>
                <w:color w:val="000000" w:themeColor="text1"/>
                <w:sz w:val="20"/>
                <w:szCs w:val="20"/>
                <w:lang w:eastAsia="ru-RU"/>
              </w:rPr>
              <w:t xml:space="preserve">характеристика квалификации участников закупки </w:t>
            </w:r>
            <w:r/>
          </w:p>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N 1   </w:t>
            </w:r>
            <w:r/>
          </w:p>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w:t>
            </w:r>
            <w:r>
              <w:rPr>
                <w:rFonts w:ascii="Times New Roman" w:hAnsi="Times New Roman" w:cs="Times New Roman"/>
                <w:b/>
                <w:color w:val="000000" w:themeColor="text1"/>
                <w:sz w:val="20"/>
              </w:rPr>
              <w:t xml:space="preserve">общая цена исполненных участником закупки договоров</w:t>
            </w:r>
            <w:r>
              <w:rPr>
                <w:rFonts w:ascii="Times New Roman" w:hAnsi="Times New Roman" w:cs="Times New Roman"/>
                <w:color w:val="000000" w:themeColor="text1"/>
                <w:sz w:val="20"/>
              </w:rPr>
              <w:t xml:space="preserve">)</w:t>
            </w:r>
            <w:r/>
          </w:p>
          <w:p>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r>
            <w:r/>
          </w:p>
        </w:tc>
        <w:tc>
          <w:tcPr>
            <w:tcBorders>
              <w:top w:val="single" w:color="auto" w:sz="4" w:space="0"/>
              <w:bottom w:val="single" w:color="auto" w:sz="4" w:space="0"/>
            </w:tcBorders>
            <w:tcW w:w="1842" w:type="dxa"/>
            <w:vAlign w:val="center"/>
            <w:textDirection w:val="lrTb"/>
            <w:noWrap w:val="false"/>
          </w:tcPr>
          <w:p>
            <w:pPr>
              <w:pStyle w:val="859"/>
              <w:jc w:val="center"/>
              <w:rPr>
                <w:rFonts w:ascii="Times New Roman" w:hAnsi="Times New Roman" w:cs="Times New Roman"/>
                <w:color w:val="000000" w:themeColor="text1"/>
                <w:sz w:val="20"/>
              </w:rPr>
            </w:pPr>
            <w:r/>
            <w:hyperlink w:tooltip="#P466" w:anchor="P466" w:history="1">
              <w:r>
                <w:rPr>
                  <w:rFonts w:ascii="Times New Roman" w:hAnsi="Times New Roman" w:cs="Times New Roman" w:eastAsiaTheme="minorEastAsia"/>
                  <w:color w:val="000000" w:themeColor="text1"/>
                  <w:sz w:val="20"/>
                </w:rPr>
                <w:t xml:space="preserve">40</w:t>
              </w:r>
            </w:hyperlink>
            <w:r/>
            <w:r/>
          </w:p>
        </w:tc>
        <w:tc>
          <w:tcPr>
            <w:tcBorders>
              <w:top w:val="single" w:color="auto" w:sz="4" w:space="0"/>
              <w:bottom w:val="single" w:color="auto" w:sz="4" w:space="0"/>
              <w:right w:val="single" w:color="auto" w:sz="4" w:space="0"/>
            </w:tcBorders>
            <w:tcW w:w="4395" w:type="dxa"/>
            <w:textDirection w:val="lrTb"/>
            <w:noWrap w:val="false"/>
          </w:tcPr>
          <w:p>
            <w:pPr>
              <w:jc w:val="both"/>
              <w:spacing w:after="0"/>
              <w:rPr>
                <w:rFonts w:ascii="Times New Roman" w:hAnsi="Times New Roman" w:cs="Times New Roman"/>
                <w:sz w:val="20"/>
                <w:szCs w:val="20"/>
              </w:rPr>
            </w:pPr>
            <w:r>
              <w:rPr>
                <w:rFonts w:ascii="Times New Roman" w:hAnsi="Times New Roman" w:cs="Times New Roman"/>
                <w:sz w:val="20"/>
                <w:szCs w:val="20"/>
              </w:rPr>
              <w:t xml:space="preserve">Оценка заявок осуществляется по формуле, предусмотренной подпунктом</w:t>
            </w:r>
            <w:r>
              <w:rPr>
                <w:rFonts w:ascii="Times New Roman" w:hAnsi="Times New Roman" w:cs="Times New Roman"/>
                <w:sz w:val="20"/>
                <w:szCs w:val="20"/>
                <w:highlight w:val="white"/>
              </w:rPr>
              <w:t xml:space="preserve"> «Б» п</w:t>
            </w:r>
            <w:r>
              <w:rPr>
                <w:rFonts w:ascii="Times New Roman" w:hAnsi="Times New Roman" w:cs="Times New Roman"/>
                <w:sz w:val="20"/>
                <w:szCs w:val="20"/>
              </w:rPr>
              <w:t xml:space="preserve">ункта 20 Положения:</w:t>
            </w:r>
            <w:r/>
          </w:p>
          <w:p>
            <w:pPr>
              <w:jc w:val="both"/>
              <w:spacing w:after="0" w:line="240" w:lineRule="auto"/>
              <w:rPr>
                <w:rFonts w:ascii="Times New Roman" w:hAnsi="Times New Roman" w:eastAsia="Calibri" w:cs="Times New Roman"/>
                <w:sz w:val="20"/>
                <w:szCs w:val="20"/>
                <w:highlight w:val="white"/>
              </w:rPr>
            </w:pPr>
            <w:r>
              <w:rPr>
                <w:rFonts w:ascii="Times New Roman" w:hAnsi="Times New Roman" w:eastAsia="Calibri" w:cs="Times New Roman"/>
                <w:sz w:val="20"/>
                <w:szCs w:val="20"/>
              </w:rPr>
              <w:t xml:space="preserve">- в случае, если лучшим является </w:t>
            </w:r>
            <w:r>
              <w:rPr>
                <w:rFonts w:ascii="Times New Roman" w:hAnsi="Times New Roman" w:eastAsia="Calibri" w:cs="Times New Roman"/>
                <w:b/>
                <w:bCs/>
                <w:sz w:val="20"/>
                <w:szCs w:val="20"/>
              </w:rPr>
              <w:t xml:space="preserve">наибольшее значение</w:t>
            </w:r>
            <w:r>
              <w:rPr>
                <w:rFonts w:ascii="Times New Roman" w:hAnsi="Times New Roman" w:eastAsia="Calibri" w:cs="Times New Roman"/>
                <w:sz w:val="20"/>
                <w:szCs w:val="20"/>
              </w:rPr>
              <w:t xml:space="preserve"> характеристики объекта закупки, - по формул</w:t>
            </w:r>
            <w:r>
              <w:rPr>
                <w:rFonts w:ascii="Times New Roman" w:hAnsi="Times New Roman" w:eastAsia="Calibri" w:cs="Times New Roman"/>
                <w:sz w:val="20"/>
                <w:szCs w:val="20"/>
                <w:highlight w:val="white"/>
              </w:rPr>
              <w:t xml:space="preserve">е:</w:t>
            </w:r>
            <w:r/>
          </w:p>
          <w:p>
            <w:pPr>
              <w:pStyle w:val="859"/>
              <w:rPr>
                <w:rFonts w:ascii="Times New Roman" w:hAnsi="Times New Roman" w:cs="Times New Roman"/>
                <w:color w:val="0000ff"/>
                <w:sz w:val="20"/>
                <w:highlight w:val="yellow"/>
              </w:rPr>
            </w:pPr>
            <w:r>
              <w:rPr>
                <w:rFonts w:ascii="Times New Roman" w:hAnsi="Times New Roman" w:cs="Times New Roman"/>
                <w:color w:val="0000ff"/>
                <w:sz w:val="20"/>
                <w:highlight w:val="yellow"/>
              </w:rPr>
            </w:r>
            <w:r/>
          </w:p>
          <w:p>
            <w:pPr>
              <w:pStyle w:val="859"/>
              <w:jc w:val="center"/>
              <w:rPr>
                <w:rFonts w:ascii="Times New Roman" w:hAnsi="Times New Roman" w:cs="Times New Roman"/>
                <w:color w:val="0000ff"/>
                <w:sz w:val="20"/>
                <w:highlight w:val="yellow"/>
              </w:rPr>
            </w:pPr>
            <w:r>
              <mc:AlternateContent>
                <mc:Choice Requires="wpg">
                  <w:drawing>
                    <wp:inline xmlns:wp="http://schemas.openxmlformats.org/drawingml/2006/wordprocessingDrawing" distT="0" distB="0" distL="0" distR="0">
                      <wp:extent cx="1924050" cy="3714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889287" name=""/>
                              <pic:cNvPicPr>
                                <a:picLocks noChangeAspect="1"/>
                              </pic:cNvPicPr>
                              <pic:nvPr/>
                            </pic:nvPicPr>
                            <pic:blipFill>
                              <a:blip r:embed="rId15"/>
                              <a:stretch/>
                            </pic:blipFill>
                            <pic:spPr bwMode="auto">
                              <a:xfrm>
                                <a:off x="0" y="0"/>
                                <a:ext cx="1924049" cy="371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1.5pt;height:29.2pt;mso-wrap-distance-left:0.0pt;mso-wrap-distance-top:0.0pt;mso-wrap-distance-right:0.0pt;mso-wrap-distance-bottom:0.0pt;" stroked="false">
                      <v:path textboxrect="0,0,0,0"/>
                      <v:imagedata r:id="rId15" o:title=""/>
                    </v:shape>
                  </w:pict>
                </mc:Fallback>
              </mc:AlternateContent>
            </w:r>
            <w:r/>
          </w:p>
          <w:p>
            <w:pPr>
              <w:jc w:val="both"/>
              <w:spacing w:after="0" w:line="240" w:lineRule="auto"/>
              <w:rPr>
                <w:rFonts w:ascii="Times New Roman" w:hAnsi="Times New Roman" w:cs="Times New Roman"/>
                <w:sz w:val="20"/>
                <w:szCs w:val="20"/>
                <w:highlight w:val="yellow"/>
              </w:rPr>
            </w:pPr>
            <w:r>
              <w:rPr>
                <w:rFonts w:ascii="Times New Roman" w:hAnsi="Times New Roman" w:cs="Times New Roman"/>
                <w:sz w:val="20"/>
                <w:szCs w:val="20"/>
                <w:highlight w:val="yellow"/>
              </w:rPr>
            </w:r>
            <w:r/>
          </w:p>
          <w:p>
            <w:pPr>
              <w:jc w:val="both"/>
              <w:spacing w:after="0" w:line="240" w:lineRule="auto"/>
              <w:shd w:val="clear" w:color="ffffff" w:themeColor="background1" w:fill="ffffff" w:themeFill="background1"/>
              <w:rPr>
                <w:rFonts w:ascii="Times New Roman" w:hAnsi="Times New Roman" w:cs="Times New Roman"/>
                <w:sz w:val="20"/>
                <w:szCs w:val="20"/>
                <w:highlight w:val="white"/>
              </w:rPr>
            </w:pPr>
            <w:r>
              <w:rPr>
                <w:rFonts w:ascii="Times New Roman" w:hAnsi="Times New Roman" w:cs="Times New Roman"/>
                <w:sz w:val="20"/>
                <w:szCs w:val="20"/>
                <w:highlight w:val="white"/>
              </w:rPr>
              <w:t xml:space="preserve">где:</w:t>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max</w:t>
            </w:r>
            <w:r>
              <w:rPr>
                <w:rFonts w:ascii="Times New Roman" w:hAnsi="Times New Roman" w:cs="Times New Roman"/>
                <w:sz w:val="20"/>
                <w:szCs w:val="20"/>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r/>
          </w:p>
          <w:p>
            <w:pPr>
              <w:jc w:val="both"/>
              <w:spacing w:after="0" w:line="240" w:lineRule="auto"/>
            </w:pPr>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i </w:t>
            </w:r>
            <w:r>
              <w:rPr>
                <w:rFonts w:ascii="Times New Roman" w:hAnsi="Times New Roman" w:cs="Times New Roman"/>
                <w:sz w:val="20"/>
                <w:szCs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p>
          <w:p>
            <w:pPr>
              <w:jc w:val="both"/>
              <w:spacing w:after="0" w:line="240" w:lineRule="auto"/>
            </w:pPr>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min</w:t>
            </w:r>
            <w:r>
              <w:rPr>
                <w:rFonts w:ascii="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p>
        </w:tc>
      </w:tr>
      <w:tr>
        <w:trPr>
          <w:trHeight w:val="1164"/>
        </w:trPr>
        <w:tc>
          <w:tcPr>
            <w:tcBorders>
              <w:left w:val="single" w:color="auto" w:sz="4" w:space="0"/>
              <w:bottom w:val="single" w:color="auto" w:sz="4" w:space="0"/>
            </w:tcBorders>
            <w:tcW w:w="454" w:type="dxa"/>
            <w:vMerge w:val="continue"/>
            <w:textDirection w:val="lrTb"/>
            <w:noWrap w:val="false"/>
          </w:tcPr>
          <w:p>
            <w:pPr>
              <w:pStyle w:val="859"/>
              <w:rPr>
                <w:rFonts w:ascii="Times New Roman" w:hAnsi="Times New Roman" w:cs="Times New Roman"/>
                <w:sz w:val="20"/>
              </w:rPr>
            </w:pPr>
            <w:r>
              <w:rPr>
                <w:rFonts w:ascii="Times New Roman" w:hAnsi="Times New Roman" w:cs="Times New Roman"/>
                <w:sz w:val="20"/>
              </w:rPr>
            </w:r>
            <w:r/>
          </w:p>
        </w:tc>
        <w:tc>
          <w:tcPr>
            <w:tcBorders>
              <w:bottom w:val="single" w:color="auto" w:sz="4" w:space="0"/>
            </w:tcBorders>
            <w:tcW w:w="2093" w:type="dxa"/>
            <w:vMerge w:val="continue"/>
            <w:textDirection w:val="lrTb"/>
            <w:noWrap w:val="false"/>
          </w:tcPr>
          <w:p>
            <w:pPr>
              <w:pStyle w:val="859"/>
              <w:rPr>
                <w:rFonts w:ascii="Times New Roman" w:hAnsi="Times New Roman" w:cs="Times New Roman"/>
                <w:sz w:val="20"/>
              </w:rPr>
            </w:pPr>
            <w:r>
              <w:rPr>
                <w:rFonts w:ascii="Times New Roman" w:hAnsi="Times New Roman" w:cs="Times New Roman"/>
                <w:sz w:val="20"/>
              </w:rPr>
            </w:r>
            <w:r/>
          </w:p>
        </w:tc>
        <w:tc>
          <w:tcPr>
            <w:tcBorders>
              <w:bottom w:val="single" w:color="auto" w:sz="4" w:space="0"/>
            </w:tcBorders>
            <w:tcW w:w="1559" w:type="dxa"/>
            <w:vMerge w:val="continue"/>
            <w:textDirection w:val="lrTb"/>
            <w:noWrap w:val="false"/>
          </w:tcPr>
          <w:p>
            <w:pPr>
              <w:pStyle w:val="859"/>
              <w:jc w:val="center"/>
              <w:rPr>
                <w:color w:val="000000" w:themeColor="text1"/>
                <w:sz w:val="20"/>
              </w:rPr>
            </w:pPr>
            <w:r>
              <w:rPr>
                <w:color w:val="000000" w:themeColor="text1"/>
                <w:sz w:val="20"/>
              </w:rPr>
            </w:r>
            <w:r/>
          </w:p>
        </w:tc>
        <w:tc>
          <w:tcPr>
            <w:tcBorders>
              <w:bottom w:val="single" w:color="auto" w:sz="4" w:space="0"/>
            </w:tcBorders>
            <w:tcW w:w="1418" w:type="dxa"/>
            <w:vMerge w:val="continue"/>
            <w:textDirection w:val="lrTb"/>
            <w:noWrap w:val="false"/>
          </w:tcPr>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r>
            <w:r/>
          </w:p>
        </w:tc>
        <w:tc>
          <w:tcPr>
            <w:tcBorders>
              <w:top w:val="single" w:color="auto" w:sz="4" w:space="0"/>
              <w:bottom w:val="single" w:color="auto" w:sz="4" w:space="0"/>
            </w:tcBorders>
            <w:tcW w:w="1417" w:type="dxa"/>
            <w:textDirection w:val="lrTb"/>
            <w:noWrap w:val="false"/>
          </w:tcPr>
          <w:p>
            <w:pPr>
              <w:pStyle w:val="859"/>
              <w:jc w:val="center"/>
              <w:rPr>
                <w:color w:val="000000" w:themeColor="text1"/>
                <w:sz w:val="20"/>
              </w:rPr>
            </w:pPr>
            <w:r>
              <w:rPr>
                <w:color w:val="000000" w:themeColor="text1"/>
                <w:sz w:val="20"/>
              </w:rPr>
            </w:r>
            <w:r/>
          </w:p>
        </w:tc>
        <w:tc>
          <w:tcPr>
            <w:tcBorders>
              <w:top w:val="single" w:color="auto" w:sz="4" w:space="0"/>
              <w:bottom w:val="single" w:color="auto" w:sz="4" w:space="0"/>
            </w:tcBorders>
            <w:tcW w:w="1985" w:type="dxa"/>
            <w:textDirection w:val="lrTb"/>
            <w:noWrap w:val="false"/>
          </w:tcPr>
          <w:p>
            <w:pPr>
              <w:jc w:val="center"/>
              <w:spacing w:after="0" w:line="240" w:lineRule="auto"/>
              <w:widowControl w:val="off"/>
              <w:rPr>
                <w:rFonts w:ascii="Times New Roman" w:hAnsi="Times New Roman" w:eastAsia="Times New Roman" w:cs="Times New Roman"/>
                <w:color w:val="000000" w:themeColor="text1"/>
                <w:sz w:val="20"/>
                <w:szCs w:val="20"/>
                <w:lang w:eastAsia="ru-RU"/>
              </w:rPr>
            </w:pPr>
            <w:r>
              <w:rPr>
                <w:rFonts w:ascii="Times New Roman" w:hAnsi="Times New Roman" w:eastAsia="Times New Roman" w:cs="Times New Roman"/>
                <w:color w:val="000000" w:themeColor="text1"/>
                <w:sz w:val="20"/>
                <w:szCs w:val="20"/>
                <w:lang w:eastAsia="ru-RU"/>
              </w:rPr>
              <w:t xml:space="preserve">характеристика квалификации участников закупки </w:t>
            </w:r>
            <w:r/>
          </w:p>
          <w:p>
            <w:pPr>
              <w:jc w:val="center"/>
              <w:spacing w:after="0" w:line="240" w:lineRule="auto"/>
              <w:widowControl w:val="off"/>
              <w:rPr>
                <w:rFonts w:ascii="Times New Roman" w:hAnsi="Times New Roman" w:eastAsia="Times New Roman" w:cs="Times New Roman"/>
                <w:color w:val="000000" w:themeColor="text1"/>
                <w:sz w:val="20"/>
                <w:szCs w:val="20"/>
                <w:lang w:eastAsia="ru-RU"/>
              </w:rPr>
            </w:pPr>
            <w:r>
              <w:rPr>
                <w:rFonts w:ascii="Times New Roman" w:hAnsi="Times New Roman" w:eastAsia="Times New Roman" w:cs="Times New Roman"/>
                <w:color w:val="000000" w:themeColor="text1"/>
                <w:sz w:val="20"/>
                <w:szCs w:val="20"/>
                <w:lang w:eastAsia="ru-RU"/>
              </w:rPr>
              <w:t xml:space="preserve">N 2</w:t>
            </w:r>
            <w:r/>
          </w:p>
          <w:p>
            <w:pPr>
              <w:jc w:val="cente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Pr>
                <w:rFonts w:ascii="Times New Roman" w:hAnsi="Times New Roman" w:cs="Times New Roman"/>
                <w:b/>
                <w:color w:val="000000" w:themeColor="text1"/>
                <w:sz w:val="20"/>
                <w:szCs w:val="20"/>
              </w:rPr>
              <w:t xml:space="preserve">общее количество исполненных участником закупки договоров</w:t>
            </w:r>
            <w:r>
              <w:rPr>
                <w:rFonts w:ascii="Times New Roman" w:hAnsi="Times New Roman" w:cs="Times New Roman"/>
                <w:color w:val="000000" w:themeColor="text1"/>
                <w:sz w:val="20"/>
                <w:szCs w:val="20"/>
              </w:rPr>
              <w:t xml:space="preserve">)</w:t>
            </w:r>
            <w:r/>
          </w:p>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r>
            <w:r/>
          </w:p>
        </w:tc>
        <w:tc>
          <w:tcPr>
            <w:tcBorders>
              <w:top w:val="single" w:color="auto" w:sz="4" w:space="0"/>
              <w:bottom w:val="single" w:color="auto" w:sz="4" w:space="0"/>
            </w:tcBorders>
            <w:tcW w:w="1842" w:type="dxa"/>
            <w:textDirection w:val="lrTb"/>
            <w:noWrap w:val="false"/>
          </w:tcPr>
          <w:p>
            <w:pPr>
              <w:pStyle w:val="859"/>
              <w:jc w:val="center"/>
              <w:rPr>
                <w:rFonts w:ascii="Times New Roman" w:hAnsi="Times New Roman" w:cs="Times New Roman"/>
                <w:color w:val="000000" w:themeColor="text1"/>
                <w:sz w:val="20"/>
              </w:rPr>
            </w:pPr>
            <w:r/>
            <w:hyperlink w:tooltip="#P466" w:anchor="P466" w:history="1">
              <w:r>
                <w:rPr>
                  <w:rFonts w:ascii="Times New Roman" w:hAnsi="Times New Roman" w:cs="Times New Roman" w:eastAsiaTheme="minorEastAsia"/>
                  <w:color w:val="000000" w:themeColor="text1"/>
                  <w:sz w:val="20"/>
                  <w:lang w:val="en-US"/>
                </w:rPr>
                <w:t xml:space="preserve">4</w:t>
              </w:r>
              <w:r>
                <w:rPr>
                  <w:rFonts w:ascii="Times New Roman" w:hAnsi="Times New Roman" w:cs="Times New Roman" w:eastAsiaTheme="minorEastAsia"/>
                  <w:color w:val="000000" w:themeColor="text1"/>
                  <w:sz w:val="20"/>
                </w:rPr>
                <w:t xml:space="preserve">0</w:t>
              </w:r>
            </w:hyperlink>
            <w:r/>
            <w:r/>
          </w:p>
          <w:p>
            <w:pPr>
              <w:pStyle w:val="859"/>
              <w:jc w:val="center"/>
              <w:rPr>
                <w:color w:val="000000" w:themeColor="text1"/>
                <w:sz w:val="20"/>
              </w:rPr>
            </w:pPr>
            <w:r>
              <w:rPr>
                <w:color w:val="000000" w:themeColor="text1"/>
                <w:sz w:val="20"/>
              </w:rPr>
            </w:r>
            <w:r/>
          </w:p>
        </w:tc>
        <w:tc>
          <w:tcPr>
            <w:tcBorders>
              <w:top w:val="single" w:color="auto" w:sz="4" w:space="0"/>
              <w:bottom w:val="single" w:color="auto" w:sz="4" w:space="0"/>
              <w:right w:val="single" w:color="auto" w:sz="4" w:space="0"/>
            </w:tcBorders>
            <w:tcW w:w="4395" w:type="dxa"/>
            <w:textDirection w:val="lrTb"/>
            <w:noWrap w:val="false"/>
          </w:tcPr>
          <w:p>
            <w:pPr>
              <w:jc w:val="both"/>
              <w:spacing w:after="0"/>
            </w:pPr>
            <w:r>
              <w:rPr>
                <w:rFonts w:ascii="Times New Roman" w:hAnsi="Times New Roman" w:cs="Times New Roman"/>
                <w:sz w:val="20"/>
                <w:szCs w:val="20"/>
              </w:rPr>
              <w:t xml:space="preserve">Оценка заявок осуществляется по формуле, предусмотренной подпунктом</w:t>
            </w:r>
            <w:r>
              <w:rPr>
                <w:rFonts w:ascii="Times New Roman" w:hAnsi="Times New Roman" w:cs="Times New Roman"/>
                <w:sz w:val="20"/>
                <w:szCs w:val="20"/>
                <w:highlight w:val="white"/>
              </w:rPr>
              <w:t xml:space="preserve"> «Б» п</w:t>
            </w:r>
            <w:r>
              <w:rPr>
                <w:rFonts w:ascii="Times New Roman" w:hAnsi="Times New Roman" w:cs="Times New Roman"/>
                <w:sz w:val="20"/>
                <w:szCs w:val="20"/>
              </w:rPr>
              <w:t xml:space="preserve">ункта 20 Положения:</w:t>
            </w:r>
            <w:r/>
          </w:p>
          <w:p>
            <w:pPr>
              <w:jc w:val="both"/>
              <w:spacing w:after="0" w:line="240" w:lineRule="auto"/>
            </w:pPr>
            <w:r>
              <w:rPr>
                <w:rFonts w:ascii="Times New Roman" w:hAnsi="Times New Roman" w:eastAsia="Calibri" w:cs="Times New Roman"/>
                <w:sz w:val="20"/>
                <w:szCs w:val="20"/>
              </w:rPr>
              <w:t xml:space="preserve">- в случае, если лучшим является </w:t>
            </w:r>
            <w:r>
              <w:rPr>
                <w:rFonts w:ascii="Times New Roman" w:hAnsi="Times New Roman" w:eastAsia="Calibri" w:cs="Times New Roman"/>
                <w:b/>
                <w:bCs/>
                <w:sz w:val="20"/>
                <w:szCs w:val="20"/>
              </w:rPr>
              <w:t xml:space="preserve">наибольшее значение</w:t>
            </w:r>
            <w:r>
              <w:rPr>
                <w:rFonts w:ascii="Times New Roman" w:hAnsi="Times New Roman" w:eastAsia="Calibri" w:cs="Times New Roman"/>
                <w:sz w:val="20"/>
                <w:szCs w:val="20"/>
              </w:rPr>
              <w:t xml:space="preserve"> характеристики объекта закупки, - по формул</w:t>
            </w:r>
            <w:r>
              <w:rPr>
                <w:rFonts w:ascii="Times New Roman" w:hAnsi="Times New Roman" w:eastAsia="Calibri" w:cs="Times New Roman"/>
                <w:sz w:val="20"/>
                <w:szCs w:val="20"/>
                <w:highlight w:val="white"/>
              </w:rPr>
              <w:t xml:space="preserve">е:</w:t>
            </w:r>
            <w:r/>
          </w:p>
          <w:p>
            <w:pPr>
              <w:pStyle w:val="859"/>
            </w:pPr>
            <w:r/>
            <w:r/>
          </w:p>
          <w:p>
            <w:pPr>
              <w:pStyle w:val="859"/>
              <w:jc w:val="center"/>
            </w:pPr>
            <w:r>
              <mc:AlternateContent>
                <mc:Choice Requires="wpg">
                  <w:drawing>
                    <wp:inline xmlns:wp="http://schemas.openxmlformats.org/drawingml/2006/wordprocessingDrawing" distT="0" distB="0" distL="0" distR="0">
                      <wp:extent cx="1924050" cy="3714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36848" name=""/>
                              <pic:cNvPicPr>
                                <a:picLocks noChangeAspect="1"/>
                              </pic:cNvPicPr>
                              <pic:nvPr/>
                            </pic:nvPicPr>
                            <pic:blipFill>
                              <a:blip r:embed="rId15"/>
                              <a:stretch/>
                            </pic:blipFill>
                            <pic:spPr bwMode="auto">
                              <a:xfrm>
                                <a:off x="0" y="0"/>
                                <a:ext cx="1924049" cy="371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1.5pt;height:29.2pt;mso-wrap-distance-left:0.0pt;mso-wrap-distance-top:0.0pt;mso-wrap-distance-right:0.0pt;mso-wrap-distance-bottom:0.0pt;" stroked="false">
                      <v:path textboxrect="0,0,0,0"/>
                      <v:imagedata r:id="rId15" o:title=""/>
                    </v:shape>
                  </w:pict>
                </mc:Fallback>
              </mc:AlternateContent>
            </w:r>
            <w:r/>
          </w:p>
          <w:p>
            <w:pPr>
              <w:jc w:val="both"/>
              <w:spacing w:after="0" w:line="240" w:lineRule="auto"/>
            </w:pPr>
            <w:r/>
            <w:r/>
          </w:p>
          <w:p>
            <w:pPr>
              <w:jc w:val="both"/>
              <w:spacing w:after="0" w:line="240" w:lineRule="auto"/>
              <w:shd w:val="clear" w:color="ffffff" w:themeColor="background1" w:fill="ffffff" w:themeFill="background1"/>
            </w:pPr>
            <w:r>
              <w:rPr>
                <w:rFonts w:ascii="Times New Roman" w:hAnsi="Times New Roman" w:cs="Times New Roman"/>
                <w:sz w:val="20"/>
                <w:szCs w:val="20"/>
                <w:highlight w:val="white"/>
              </w:rPr>
              <w:t xml:space="preserve">где:</w:t>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max</w:t>
            </w:r>
            <w:r>
              <w:rPr>
                <w:rFonts w:ascii="Times New Roman" w:hAnsi="Times New Roman" w:cs="Times New Roman"/>
                <w:sz w:val="20"/>
                <w:szCs w:val="20"/>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r/>
          </w:p>
          <w:p>
            <w:pPr>
              <w:jc w:val="both"/>
              <w:spacing w:after="0" w:line="240" w:lineRule="auto"/>
            </w:pPr>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i </w:t>
            </w:r>
            <w:r>
              <w:rPr>
                <w:rFonts w:ascii="Times New Roman" w:hAnsi="Times New Roman" w:cs="Times New Roman"/>
                <w:sz w:val="20"/>
                <w:szCs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p>
          <w:p>
            <w:pPr>
              <w:jc w:val="both"/>
              <w:spacing w:after="0" w:line="240" w:lineRule="auto"/>
            </w:pPr>
            <w:r/>
            <w:r/>
          </w:p>
          <w:p>
            <w:pPr>
              <w:jc w:val="both"/>
              <w:spacing w:after="0" w:line="240" w:lineRule="auto"/>
              <w:rPr>
                <w:rFonts w:ascii="Times New Roman" w:hAnsi="Times New Roman" w:eastAsia="Calibri" w:cs="Times New Roman"/>
                <w:b/>
                <w:bCs/>
                <w:color w:val="0000ff"/>
                <w:highlight w:val="white"/>
              </w:rPr>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min</w:t>
            </w:r>
            <w:r>
              <w:rPr>
                <w:rFonts w:ascii="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p>
        </w:tc>
      </w:tr>
      <w:tr>
        <w:trPr>
          <w:trHeight w:val="1164"/>
        </w:trPr>
        <w:tc>
          <w:tcPr>
            <w:tcBorders>
              <w:left w:val="single" w:color="auto" w:sz="4" w:space="0"/>
              <w:bottom w:val="single" w:color="auto" w:sz="4" w:space="0"/>
            </w:tcBorders>
            <w:tcW w:w="454" w:type="dxa"/>
            <w:textDirection w:val="lrTb"/>
            <w:noWrap w:val="false"/>
          </w:tcPr>
          <w:p>
            <w:pPr>
              <w:pStyle w:val="859"/>
              <w:rPr>
                <w:rFonts w:ascii="Times New Roman" w:hAnsi="Times New Roman" w:cs="Times New Roman"/>
                <w:sz w:val="20"/>
              </w:rPr>
            </w:pPr>
            <w:r>
              <w:rPr>
                <w:rFonts w:ascii="Times New Roman" w:hAnsi="Times New Roman" w:cs="Times New Roman"/>
                <w:sz w:val="20"/>
              </w:rPr>
            </w:r>
            <w:r/>
          </w:p>
        </w:tc>
        <w:tc>
          <w:tcPr>
            <w:tcBorders>
              <w:bottom w:val="single" w:color="auto" w:sz="4" w:space="0"/>
            </w:tcBorders>
            <w:tcW w:w="2093" w:type="dxa"/>
            <w:textDirection w:val="lrTb"/>
            <w:noWrap w:val="false"/>
          </w:tcPr>
          <w:p>
            <w:pPr>
              <w:pStyle w:val="859"/>
              <w:rPr>
                <w:rFonts w:ascii="Times New Roman" w:hAnsi="Times New Roman" w:cs="Times New Roman"/>
                <w:sz w:val="20"/>
              </w:rPr>
            </w:pPr>
            <w:r>
              <w:rPr>
                <w:rFonts w:ascii="Times New Roman" w:hAnsi="Times New Roman" w:cs="Times New Roman"/>
                <w:sz w:val="20"/>
              </w:rPr>
            </w:r>
            <w:r/>
          </w:p>
        </w:tc>
        <w:tc>
          <w:tcPr>
            <w:tcBorders>
              <w:bottom w:val="single" w:color="auto" w:sz="4" w:space="0"/>
            </w:tcBorders>
            <w:tcW w:w="1559" w:type="dxa"/>
            <w:textDirection w:val="lrTb"/>
            <w:noWrap w:val="false"/>
          </w:tcPr>
          <w:p>
            <w:pPr>
              <w:pStyle w:val="859"/>
              <w:jc w:val="center"/>
              <w:rPr>
                <w:color w:val="000000" w:themeColor="text1"/>
                <w:sz w:val="20"/>
              </w:rPr>
            </w:pPr>
            <w:r>
              <w:rPr>
                <w:color w:val="000000" w:themeColor="text1"/>
                <w:sz w:val="20"/>
              </w:rPr>
            </w:r>
            <w:r/>
          </w:p>
        </w:tc>
        <w:tc>
          <w:tcPr>
            <w:tcBorders>
              <w:bottom w:val="single" w:color="auto" w:sz="4" w:space="0"/>
            </w:tcBorders>
            <w:tcW w:w="1418" w:type="dxa"/>
            <w:textDirection w:val="lrTb"/>
            <w:noWrap w:val="false"/>
          </w:tcPr>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r>
            <w:r/>
          </w:p>
        </w:tc>
        <w:tc>
          <w:tcPr>
            <w:tcBorders>
              <w:top w:val="single" w:color="auto" w:sz="4" w:space="0"/>
              <w:bottom w:val="single" w:color="auto" w:sz="4" w:space="0"/>
            </w:tcBorders>
            <w:tcW w:w="1417" w:type="dxa"/>
            <w:textDirection w:val="lrTb"/>
            <w:noWrap w:val="false"/>
          </w:tcPr>
          <w:p>
            <w:pPr>
              <w:pStyle w:val="859"/>
              <w:jc w:val="center"/>
              <w:rPr>
                <w:color w:val="000000" w:themeColor="text1"/>
                <w:sz w:val="20"/>
              </w:rPr>
            </w:pPr>
            <w:r>
              <w:rPr>
                <w:color w:val="000000" w:themeColor="text1"/>
                <w:sz w:val="20"/>
              </w:rPr>
            </w:r>
            <w:r/>
          </w:p>
        </w:tc>
        <w:tc>
          <w:tcPr>
            <w:tcBorders>
              <w:top w:val="single" w:color="auto" w:sz="4" w:space="0"/>
              <w:bottom w:val="single" w:color="auto" w:sz="4" w:space="0"/>
            </w:tcBorders>
            <w:tcW w:w="1985" w:type="dxa"/>
            <w:textDirection w:val="lrTb"/>
            <w:noWrap w:val="false"/>
          </w:tcPr>
          <w:p>
            <w:pPr>
              <w:jc w:val="center"/>
              <w:spacing w:after="0" w:line="240" w:lineRule="auto"/>
              <w:widowControl w:val="off"/>
              <w:rPr>
                <w:rFonts w:ascii="Times New Roman" w:hAnsi="Times New Roman" w:eastAsia="Times New Roman" w:cs="Times New Roman"/>
                <w:color w:val="000000" w:themeColor="text1"/>
                <w:sz w:val="20"/>
                <w:szCs w:val="20"/>
                <w:lang w:eastAsia="ru-RU"/>
              </w:rPr>
            </w:pPr>
            <w:r>
              <w:rPr>
                <w:rFonts w:ascii="Times New Roman" w:hAnsi="Times New Roman" w:eastAsia="Times New Roman" w:cs="Times New Roman"/>
                <w:color w:val="000000" w:themeColor="text1"/>
                <w:sz w:val="20"/>
                <w:szCs w:val="20"/>
                <w:lang w:eastAsia="ru-RU"/>
              </w:rPr>
              <w:t xml:space="preserve">характеристика квалификации участников закупки </w:t>
            </w:r>
            <w:r/>
          </w:p>
          <w:p>
            <w:pPr>
              <w:jc w:val="center"/>
              <w:spacing w:after="0" w:line="240" w:lineRule="auto"/>
              <w:widowControl w:val="off"/>
              <w:rPr>
                <w:rFonts w:ascii="Times New Roman" w:hAnsi="Times New Roman" w:eastAsia="Times New Roman" w:cs="Times New Roman"/>
                <w:color w:val="000000" w:themeColor="text1"/>
                <w:sz w:val="20"/>
                <w:szCs w:val="20"/>
                <w:lang w:eastAsia="ru-RU"/>
              </w:rPr>
            </w:pPr>
            <w:r>
              <w:rPr>
                <w:rFonts w:ascii="Times New Roman" w:hAnsi="Times New Roman" w:eastAsia="Times New Roman" w:cs="Times New Roman"/>
                <w:color w:val="000000" w:themeColor="text1"/>
                <w:sz w:val="20"/>
                <w:szCs w:val="20"/>
                <w:lang w:eastAsia="ru-RU"/>
              </w:rPr>
              <w:t xml:space="preserve">N </w:t>
            </w:r>
            <w:r>
              <w:rPr>
                <w:rFonts w:ascii="Times New Roman" w:hAnsi="Times New Roman" w:eastAsia="Times New Roman" w:cs="Times New Roman"/>
                <w:color w:val="000000" w:themeColor="text1"/>
                <w:sz w:val="20"/>
                <w:szCs w:val="20"/>
                <w:lang w:eastAsia="ru-RU"/>
              </w:rPr>
              <w:t xml:space="preserve">3</w:t>
            </w:r>
            <w:r/>
          </w:p>
          <w:p>
            <w:pPr>
              <w:jc w:val="cente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Pr>
                <w:rFonts w:ascii="Times New Roman" w:hAnsi="Times New Roman" w:cs="Times New Roman"/>
                <w:b/>
                <w:color w:val="000000" w:themeColor="text1"/>
                <w:sz w:val="20"/>
                <w:szCs w:val="20"/>
              </w:rPr>
              <w:t xml:space="preserve">наибольшая цена одного из исполненных участником закупки договоров</w:t>
            </w:r>
            <w:r>
              <w:rPr>
                <w:rFonts w:ascii="Times New Roman" w:hAnsi="Times New Roman" w:cs="Times New Roman"/>
                <w:color w:val="000000" w:themeColor="text1"/>
                <w:sz w:val="20"/>
                <w:szCs w:val="20"/>
              </w:rPr>
              <w:t xml:space="preserve">)</w:t>
            </w:r>
            <w:r/>
          </w:p>
          <w:p>
            <w:pPr>
              <w:pStyle w:val="859"/>
              <w:jc w:val="center"/>
              <w:rPr>
                <w:rFonts w:ascii="Times New Roman" w:hAnsi="Times New Roman" w:cs="Times New Roman"/>
                <w:color w:val="000000" w:themeColor="text1"/>
                <w:sz w:val="20"/>
              </w:rPr>
            </w:pPr>
            <w:r>
              <w:rPr>
                <w:rFonts w:ascii="Times New Roman" w:hAnsi="Times New Roman" w:cs="Times New Roman"/>
                <w:color w:val="000000" w:themeColor="text1"/>
                <w:sz w:val="20"/>
              </w:rPr>
            </w:r>
            <w:r/>
          </w:p>
        </w:tc>
        <w:tc>
          <w:tcPr>
            <w:tcBorders>
              <w:top w:val="single" w:color="auto" w:sz="4" w:space="0"/>
              <w:bottom w:val="single" w:color="auto" w:sz="4" w:space="0"/>
            </w:tcBorders>
            <w:tcW w:w="1842" w:type="dxa"/>
            <w:textDirection w:val="lrTb"/>
            <w:noWrap w:val="false"/>
          </w:tcPr>
          <w:p>
            <w:pPr>
              <w:pStyle w:val="859"/>
              <w:jc w:val="center"/>
              <w:rPr>
                <w:color w:val="000000" w:themeColor="text1"/>
                <w:lang w:val="en-US"/>
              </w:rPr>
            </w:pPr>
            <w:r>
              <w:rPr>
                <w:rFonts w:ascii="Times New Roman" w:hAnsi="Times New Roman" w:cs="Times New Roman" w:eastAsiaTheme="minorEastAsia"/>
                <w:color w:val="000000" w:themeColor="text1"/>
                <w:sz w:val="20"/>
                <w:lang w:val="en-US"/>
              </w:rPr>
              <w:t xml:space="preserve">20</w:t>
            </w:r>
            <w:r/>
          </w:p>
        </w:tc>
        <w:tc>
          <w:tcPr>
            <w:tcBorders>
              <w:top w:val="single" w:color="auto" w:sz="4" w:space="0"/>
              <w:bottom w:val="single" w:color="auto" w:sz="4" w:space="0"/>
              <w:right w:val="single" w:color="auto" w:sz="4" w:space="0"/>
            </w:tcBorders>
            <w:tcW w:w="4395" w:type="dxa"/>
            <w:textDirection w:val="lrTb"/>
            <w:noWrap w:val="false"/>
          </w:tcPr>
          <w:p>
            <w:pPr>
              <w:jc w:val="both"/>
              <w:spacing w:after="0"/>
            </w:pPr>
            <w:r>
              <w:rPr>
                <w:rFonts w:ascii="Times New Roman" w:hAnsi="Times New Roman" w:cs="Times New Roman"/>
                <w:sz w:val="20"/>
                <w:szCs w:val="20"/>
              </w:rPr>
              <w:t xml:space="preserve">Оценка заявок осуществляется по формуле, предусмотренной подпунктом</w:t>
            </w:r>
            <w:r>
              <w:rPr>
                <w:rFonts w:ascii="Times New Roman" w:hAnsi="Times New Roman" w:cs="Times New Roman"/>
                <w:sz w:val="20"/>
                <w:szCs w:val="20"/>
                <w:highlight w:val="white"/>
              </w:rPr>
              <w:t xml:space="preserve"> «Б» п</w:t>
            </w:r>
            <w:r>
              <w:rPr>
                <w:rFonts w:ascii="Times New Roman" w:hAnsi="Times New Roman" w:cs="Times New Roman"/>
                <w:sz w:val="20"/>
                <w:szCs w:val="20"/>
              </w:rPr>
              <w:t xml:space="preserve">ункта 20 Положения:</w:t>
            </w:r>
            <w:r/>
          </w:p>
          <w:p>
            <w:pPr>
              <w:jc w:val="both"/>
              <w:spacing w:after="0" w:line="240" w:lineRule="auto"/>
            </w:pPr>
            <w:r>
              <w:rPr>
                <w:rFonts w:ascii="Times New Roman" w:hAnsi="Times New Roman" w:eastAsia="Calibri" w:cs="Times New Roman"/>
                <w:sz w:val="20"/>
                <w:szCs w:val="20"/>
              </w:rPr>
              <w:t xml:space="preserve">- в случае, если лучшим является </w:t>
            </w:r>
            <w:r>
              <w:rPr>
                <w:rFonts w:ascii="Times New Roman" w:hAnsi="Times New Roman" w:eastAsia="Calibri" w:cs="Times New Roman"/>
                <w:b/>
                <w:bCs/>
                <w:sz w:val="20"/>
                <w:szCs w:val="20"/>
              </w:rPr>
              <w:t xml:space="preserve">наибольшее значение</w:t>
            </w:r>
            <w:r>
              <w:rPr>
                <w:rFonts w:ascii="Times New Roman" w:hAnsi="Times New Roman" w:eastAsia="Calibri" w:cs="Times New Roman"/>
                <w:sz w:val="20"/>
                <w:szCs w:val="20"/>
              </w:rPr>
              <w:t xml:space="preserve"> характеристики объекта закупки, - по формул</w:t>
            </w:r>
            <w:r>
              <w:rPr>
                <w:rFonts w:ascii="Times New Roman" w:hAnsi="Times New Roman" w:eastAsia="Calibri" w:cs="Times New Roman"/>
                <w:sz w:val="20"/>
                <w:szCs w:val="20"/>
                <w:highlight w:val="white"/>
              </w:rPr>
              <w:t xml:space="preserve">е:</w:t>
            </w:r>
            <w:r/>
          </w:p>
          <w:p>
            <w:pPr>
              <w:pStyle w:val="859"/>
            </w:pPr>
            <w:r/>
            <w:r/>
          </w:p>
          <w:p>
            <w:pPr>
              <w:pStyle w:val="859"/>
              <w:jc w:val="center"/>
            </w:pPr>
            <w:r>
              <mc:AlternateContent>
                <mc:Choice Requires="wpg">
                  <w:drawing>
                    <wp:inline xmlns:wp="http://schemas.openxmlformats.org/drawingml/2006/wordprocessingDrawing" distT="0" distB="0" distL="0" distR="0">
                      <wp:extent cx="1924050" cy="3714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36848" name=""/>
                              <pic:cNvPicPr>
                                <a:picLocks noChangeAspect="1"/>
                              </pic:cNvPicPr>
                              <pic:nvPr/>
                            </pic:nvPicPr>
                            <pic:blipFill>
                              <a:blip r:embed="rId15"/>
                              <a:stretch/>
                            </pic:blipFill>
                            <pic:spPr bwMode="auto">
                              <a:xfrm>
                                <a:off x="0" y="0"/>
                                <a:ext cx="1924049" cy="371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1.5pt;height:29.2pt;mso-wrap-distance-left:0.0pt;mso-wrap-distance-top:0.0pt;mso-wrap-distance-right:0.0pt;mso-wrap-distance-bottom:0.0pt;" stroked="false">
                      <v:path textboxrect="0,0,0,0"/>
                      <v:imagedata r:id="rId15" o:title=""/>
                    </v:shape>
                  </w:pict>
                </mc:Fallback>
              </mc:AlternateContent>
            </w:r>
            <w:r/>
          </w:p>
          <w:p>
            <w:pPr>
              <w:jc w:val="both"/>
              <w:spacing w:after="0" w:line="240" w:lineRule="auto"/>
            </w:pPr>
            <w:r/>
            <w:r/>
          </w:p>
          <w:p>
            <w:pPr>
              <w:jc w:val="both"/>
              <w:spacing w:after="0" w:line="240" w:lineRule="auto"/>
              <w:shd w:val="clear" w:color="ffffff" w:themeColor="background1" w:fill="ffffff" w:themeFill="background1"/>
            </w:pPr>
            <w:r>
              <w:rPr>
                <w:rFonts w:ascii="Times New Roman" w:hAnsi="Times New Roman" w:cs="Times New Roman"/>
                <w:sz w:val="20"/>
                <w:szCs w:val="20"/>
                <w:highlight w:val="white"/>
              </w:rPr>
              <w:t xml:space="preserve">где:</w:t>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max</w:t>
            </w:r>
            <w:r>
              <w:rPr>
                <w:rFonts w:ascii="Times New Roman" w:hAnsi="Times New Roman" w:cs="Times New Roman"/>
                <w:sz w:val="20"/>
                <w:szCs w:val="20"/>
              </w:rPr>
              <w:t xml:space="preserve"> - максимальное значение характеристики объекта закупки, содержащееся в заявках (частях </w:t>
            </w:r>
            <w:r>
              <w:rPr>
                <w:rFonts w:ascii="Times New Roman" w:hAnsi="Times New Roman" w:cs="Times New Roman"/>
                <w:sz w:val="20"/>
                <w:szCs w:val="20"/>
              </w:rPr>
              <w:t xml:space="preserve">заявок), подлежащих в соответствии с Федеральным законом оценке по критерию оценки;</w:t>
            </w:r>
            <w:r/>
          </w:p>
          <w:p>
            <w:pPr>
              <w:jc w:val="both"/>
              <w:spacing w:after="0" w:line="240" w:lineRule="auto"/>
            </w:pPr>
            <w:r/>
            <w:r/>
          </w:p>
          <w:p>
            <w:pPr>
              <w:jc w:val="both"/>
              <w:spacing w:after="0" w:line="240" w:lineRule="auto"/>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i </w:t>
            </w:r>
            <w:r>
              <w:rPr>
                <w:rFonts w:ascii="Times New Roman" w:hAnsi="Times New Roman" w:cs="Times New Roman"/>
                <w:sz w:val="20"/>
                <w:szCs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p>
          <w:p>
            <w:pPr>
              <w:jc w:val="both"/>
              <w:spacing w:after="0" w:line="240" w:lineRule="auto"/>
            </w:pPr>
            <w:r/>
            <w:r/>
          </w:p>
          <w:p>
            <w:pPr>
              <w:jc w:val="both"/>
              <w:spacing w:after="0" w:line="240" w:lineRule="auto"/>
              <w:rPr>
                <w:rFonts w:ascii="Times New Roman" w:hAnsi="Times New Roman" w:eastAsia="Calibri" w:cs="Times New Roman"/>
                <w:b/>
                <w:bCs/>
                <w:color w:val="0000ff"/>
                <w:highlight w:val="white"/>
              </w:rPr>
            </w:pPr>
            <w:r>
              <w:rPr>
                <w:rFonts w:ascii="Times New Roman" w:hAnsi="Times New Roman" w:cs="Times New Roman"/>
                <w:sz w:val="20"/>
                <w:szCs w:val="20"/>
              </w:rPr>
              <w:t xml:space="preserve">Х</w:t>
            </w:r>
            <w:r>
              <w:rPr>
                <w:rFonts w:ascii="Times New Roman" w:hAnsi="Times New Roman" w:cs="Times New Roman"/>
                <w:sz w:val="20"/>
                <w:szCs w:val="20"/>
                <w:vertAlign w:val="subscript"/>
              </w:rPr>
              <w:t xml:space="preserve">min</w:t>
            </w:r>
            <w:r>
              <w:rPr>
                <w:rFonts w:ascii="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p>
        </w:tc>
      </w:tr>
    </w:tbl>
    <w:tbl>
      <w:tblPr>
        <w:tblW w:w="15168" w:type="dxa"/>
        <w:tblLayout w:type="fixed"/>
        <w:tblCellMar>
          <w:left w:w="62" w:type="dxa"/>
          <w:top w:w="102" w:type="dxa"/>
          <w:right w:w="62" w:type="dxa"/>
          <w:bottom w:w="102" w:type="dxa"/>
        </w:tblCellMar>
        <w:tblLook w:val="0000" w:firstRow="0" w:lastRow="0" w:firstColumn="0" w:lastColumn="0" w:noHBand="0" w:noVBand="0"/>
      </w:tblPr>
      <w:tblGrid>
        <w:gridCol w:w="15168"/>
      </w:tblGrid>
      <w:tr>
        <w:trPr/>
        <w:tc>
          <w:tcPr>
            <w:tcBorders>
              <w:top w:val="none" w:color="000000" w:sz="4" w:space="0"/>
              <w:left w:val="none" w:color="000000" w:sz="4" w:space="0"/>
              <w:bottom w:val="none" w:color="000000" w:sz="4" w:space="0"/>
              <w:right w:val="none" w:color="000000" w:sz="4" w:space="0"/>
            </w:tcBorders>
            <w:tcW w:w="15168" w:type="dxa"/>
            <w:textDirection w:val="lrTb"/>
            <w:noWrap w:val="false"/>
          </w:tcPr>
          <w:p>
            <w:pPr>
              <w:pStyle w:val="859"/>
              <w:jc w:val="both"/>
              <w:rPr>
                <w:rFonts w:ascii="Times New Roman" w:hAnsi="Times New Roman" w:cs="Times New Roman"/>
                <w:sz w:val="24"/>
                <w:szCs w:val="24"/>
              </w:rPr>
              <w:outlineLvl w:val="2"/>
            </w:pPr>
            <w:r>
              <w:rPr>
                <w:rFonts w:ascii="Times New Roman" w:hAnsi="Times New Roman" w:cs="Times New Roman"/>
                <w:sz w:val="24"/>
                <w:szCs w:val="24"/>
              </w:rPr>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tooltip="#P306" w:anchor="P306" w:history="1">
              <w:r>
                <w:rPr>
                  <w:rFonts w:ascii="Times New Roman" w:hAnsi="Times New Roman" w:cs="Times New Roman"/>
                  <w:sz w:val="24"/>
                  <w:szCs w:val="24"/>
                </w:rPr>
                <w:t xml:space="preserve">разделом II</w:t>
              </w:r>
            </w:hyperlink>
            <w:r>
              <w:rPr>
                <w:rFonts w:ascii="Times New Roman" w:hAnsi="Times New Roman" w:cs="Times New Roman"/>
                <w:sz w:val="24"/>
                <w:szCs w:val="24"/>
              </w:rPr>
              <w:t xml:space="preserve"> настоящего документа</w:t>
            </w:r>
            <w:r/>
          </w:p>
        </w:tc>
      </w:tr>
    </w:tbl>
    <w:p>
      <w:pPr>
        <w:pStyle w:val="859"/>
        <w:jc w:val="both"/>
        <w:rPr>
          <w:rFonts w:ascii="Times New Roman" w:hAnsi="Times New Roman" w:cs="Times New Roman"/>
          <w:sz w:val="24"/>
          <w:szCs w:val="24"/>
        </w:rPr>
      </w:pPr>
      <w:r>
        <w:rPr>
          <w:rFonts w:ascii="Times New Roman" w:hAnsi="Times New Roman" w:cs="Times New Roman"/>
          <w:sz w:val="24"/>
          <w:szCs w:val="24"/>
        </w:rPr>
      </w:r>
      <w:r/>
    </w:p>
    <w:tbl>
      <w:tblPr>
        <w:tblW w:w="15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638"/>
        <w:gridCol w:w="4748"/>
        <w:gridCol w:w="9777"/>
      </w:tblGrid>
      <w:tr>
        <w:trPr/>
        <w:tc>
          <w:tcPr>
            <w:tcW w:w="638"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N</w:t>
            </w:r>
            <w:r/>
          </w:p>
        </w:tc>
        <w:tc>
          <w:tcPr>
            <w:tcW w:w="4748"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tooltip="#P432" w:anchor="P432" w:history="1">
              <w:r>
                <w:rPr>
                  <w:rFonts w:ascii="Times New Roman" w:hAnsi="Times New Roman" w:cs="Times New Roman"/>
                  <w:sz w:val="20"/>
                </w:rPr>
                <w:t xml:space="preserve">графой 3</w:t>
              </w:r>
            </w:hyperlink>
            <w:r/>
            <w:r/>
          </w:p>
        </w:tc>
        <w:tc>
          <w:tcPr>
            <w:tcW w:w="9777"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Положение о применения критерия оценки, показателя оценки, показателя оценки, детализирующего показатель оценки</w:t>
            </w:r>
            <w:r/>
          </w:p>
        </w:tc>
      </w:tr>
      <w:tr>
        <w:trPr>
          <w:trHeight w:val="2551"/>
        </w:trPr>
        <w:tc>
          <w:tcPr>
            <w:tcW w:w="638" w:type="dxa"/>
            <w:vMerge w:val="restart"/>
            <w:textDirection w:val="lrTb"/>
            <w:noWrap w:val="false"/>
          </w:tcPr>
          <w:p>
            <w:pPr>
              <w:contextualSpacing/>
              <w:jc w:val="center"/>
              <w:rPr>
                <w:rFonts w:ascii="Times New Roman" w:hAnsi="Times New Roman" w:cs="Times New Roman"/>
              </w:rPr>
            </w:pPr>
            <w:r>
              <w:rPr>
                <w:rFonts w:ascii="Times New Roman" w:hAnsi="Times New Roman" w:eastAsia="Calibri" w:cs="Times New Roman"/>
                <w:lang w:val="en-US"/>
              </w:rPr>
              <w:t xml:space="preserve">1.</w:t>
            </w:r>
            <w:r/>
          </w:p>
        </w:tc>
        <w:tc>
          <w:tcPr>
            <w:tcW w:w="4748" w:type="dxa"/>
            <w:vMerge w:val="restart"/>
            <w:textDirection w:val="lrTb"/>
            <w:noWrap w:val="false"/>
          </w:tcPr>
          <w:p>
            <w:pPr>
              <w:contextualSpacing/>
              <w:jc w:val="both"/>
              <w:rPr>
                <w:rFonts w:ascii="Times New Roman" w:hAnsi="Times New Roman" w:cs="Times New Roman"/>
                <w:color w:val="000000" w:themeColor="text1"/>
              </w:rPr>
            </w:pPr>
            <w:r>
              <w:rPr>
                <w:rFonts w:ascii="Times New Roman" w:hAnsi="Times New Roman" w:cs="Times New Roman"/>
                <w:b/>
                <w:color w:val="000000" w:themeColor="text1"/>
                <w:sz w:val="20"/>
                <w:szCs w:val="20"/>
              </w:rPr>
              <w:t xml:space="preserve">Критерий</w:t>
            </w:r>
            <w:r>
              <w:rPr>
                <w:rFonts w:ascii="Times New Roman" w:hAnsi="Times New Roman" w:cs="Times New Roman"/>
                <w:color w:val="000000" w:themeColor="text1"/>
                <w:sz w:val="20"/>
                <w:szCs w:val="20"/>
              </w:rPr>
              <w:t xml:space="preserve">: «Цена контракта, сумма цен единиц товара, работы, услуги»</w:t>
            </w:r>
            <w:r/>
          </w:p>
        </w:tc>
        <w:tc>
          <w:tcPr>
            <w:tcW w:w="9777" w:type="dxa"/>
            <w:vMerge w:val="restart"/>
            <w:textDirection w:val="lrTb"/>
            <w:noWrap w:val="false"/>
          </w:tcPr>
          <w:p>
            <w:pPr>
              <w:contextualSpacing/>
              <w:jc w:val="both"/>
              <w:widowControl w:val="off"/>
              <w:rPr>
                <w:rFonts w:ascii="Times New Roman" w:hAnsi="Times New Roman" w:cs="Times New Roman"/>
              </w:rPr>
            </w:pPr>
            <w:r>
              <w:rPr>
                <w:rFonts w:ascii="Times New Roman" w:hAnsi="Times New Roman" w:cs="Times New Roman"/>
                <w:sz w:val="20"/>
                <w:szCs w:val="20"/>
              </w:rPr>
              <w:t xml:space="preserve">Подпункт «а» пункта 3 Положения (Постановление Правительства РФ от 31.12.2021 N 2604)</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Оценка заявок по критерию оценки "цена контракта, сумма цен единиц товара, работы, услуги" осуществляется в соответствии со следующими требованиями:</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а) заявкам, содержащим наилучшее ценовое предложение, а также предложение, равное такому наилучшему ценовому предложению, присваивается 100 баллов.</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б) значение Цл при применении формулы, предусмотренной подпунктом "а" пункта 10 настоящего Положения, и значения Цл и Цi при применении формулы, предусмотренной подпунктом "б" пункта 10 настоящего Положения, указываются без знака "минус".</w:t>
            </w:r>
            <w:r/>
          </w:p>
          <w:p>
            <w:pPr>
              <w:contextualSpacing/>
              <w:jc w:val="both"/>
              <w:widowControl w:val="off"/>
              <w:rPr>
                <w:rFonts w:ascii="Times New Roman" w:hAnsi="Times New Roman" w:cs="Times New Roman"/>
                <w:sz w:val="20"/>
                <w:szCs w:val="20"/>
              </w:rPr>
            </w:pPr>
            <w:r>
              <w:rPr>
                <w:rFonts w:ascii="Times New Roman" w:hAnsi="Times New Roman" w:cs="Times New Roman"/>
                <w:sz w:val="20"/>
                <w:szCs w:val="20"/>
              </w:rPr>
              <w:t xml:space="preserve">в) применение показателей оценки по критерию оценки "цена контракта, сумма цен единиц товара, работы, услуги" не допускается.</w:t>
            </w:r>
            <w:r/>
          </w:p>
        </w:tc>
      </w:tr>
      <w:tr>
        <w:trPr>
          <w:trHeight w:val="3046"/>
        </w:trPr>
        <w:tc>
          <w:tcPr>
            <w:tcW w:w="638" w:type="dxa"/>
            <w:vMerge w:val="restart"/>
            <w:textDirection w:val="lrTb"/>
            <w:noWrap w:val="false"/>
          </w:tcPr>
          <w:p>
            <w:pPr>
              <w:jc w:val="center"/>
              <w:rPr>
                <w:rFonts w:ascii="Times New Roman" w:hAnsi="Times New Roman" w:cs="Times New Roman"/>
              </w:rPr>
            </w:pPr>
            <w:r>
              <w:rPr>
                <w:rFonts w:ascii="Times New Roman" w:hAnsi="Times New Roman" w:eastAsia="Calibri" w:cs="Times New Roman"/>
                <w:lang w:val="en-US"/>
              </w:rPr>
              <w:t xml:space="preserve">2.</w:t>
            </w:r>
            <w:r/>
          </w:p>
        </w:tc>
        <w:tc>
          <w:tcPr>
            <w:tcW w:w="4748" w:type="dxa"/>
            <w:vMerge w:val="restart"/>
            <w:textDirection w:val="lrTb"/>
            <w:noWrap w:val="false"/>
          </w:tcPr>
          <w:p>
            <w:pPr>
              <w:jc w:val="both"/>
              <w:rPr>
                <w:rFonts w:ascii="Times New Roman" w:hAnsi="Times New Roman" w:cs="Times New Roman"/>
                <w:color w:val="000000" w:themeColor="text1"/>
              </w:rPr>
            </w:pPr>
            <w:r>
              <w:rPr>
                <w:rFonts w:ascii="Times New Roman" w:hAnsi="Times New Roman" w:cs="Times New Roman"/>
                <w:b/>
                <w:color w:val="000000" w:themeColor="text1"/>
                <w:sz w:val="20"/>
                <w:szCs w:val="20"/>
              </w:rPr>
              <w:t xml:space="preserve">Критерий</w:t>
            </w:r>
            <w:r>
              <w:rPr>
                <w:rFonts w:ascii="Times New Roman" w:hAnsi="Times New Roman" w:cs="Times New Roman"/>
                <w:color w:val="000000" w:themeColor="text1"/>
                <w:sz w:val="20"/>
                <w:szCs w:val="20"/>
              </w:rPr>
              <w:t xml:space="preserve">: «Квалификация участников закупки, в том числе наличие у</w:t>
            </w:r>
            <w:r>
              <w:rPr>
                <w:rFonts w:ascii="Times New Roman" w:hAnsi="Times New Roman" w:cs="Times New Roman"/>
                <w:color w:val="000000" w:themeColor="text1"/>
                <w:sz w:val="20"/>
                <w:szCs w:val="20"/>
              </w:rPr>
              <w:t xml:space="preserve">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p>
        </w:tc>
        <w:tc>
          <w:tcPr>
            <w:tcW w:w="9777" w:type="dxa"/>
            <w:vMerge w:val="restart"/>
            <w:textDirection w:val="lrTb"/>
            <w:noWrap w:val="false"/>
          </w:tcPr>
          <w:p>
            <w:pPr>
              <w:contextualSpacing/>
              <w:jc w:val="both"/>
              <w:widowControl w:val="off"/>
              <w:rPr>
                <w:rFonts w:ascii="Times New Roman" w:hAnsi="Times New Roman" w:cs="Times New Roman"/>
              </w:rPr>
            </w:pPr>
            <w:r>
              <w:rPr>
                <w:rFonts w:ascii="Times New Roman" w:hAnsi="Times New Roman" w:cs="Times New Roman"/>
                <w:sz w:val="20"/>
                <w:szCs w:val="20"/>
              </w:rPr>
              <w:t xml:space="preserve">Подпункт «г» пункта 3 Положения (Постановление Правительства РФ от 31.12.2021 N 2604)</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Для критерия оценк</w:t>
            </w:r>
            <w:r>
              <w:rPr>
                <w:rFonts w:ascii="Times New Roman" w:hAnsi="Times New Roman" w:cs="Times New Roman"/>
                <w:sz w:val="20"/>
                <w:szCs w:val="20"/>
              </w:rPr>
              <w:t xml:space="preserve">и «Квалификация участников закупки» применяются показатели оценки.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r/>
          </w:p>
          <w:p>
            <w:pPr>
              <w:contextualSpacing/>
              <w:jc w:val="both"/>
              <w:rPr>
                <w:rFonts w:ascii="Times New Roman" w:hAnsi="Times New Roman" w:cs="Times New Roman"/>
              </w:rPr>
            </w:pPr>
            <w:r>
              <w:rPr>
                <w:rFonts w:ascii="Times New Roman" w:hAnsi="Times New Roman" w:eastAsia="Calibri" w:cs="Times New Roman"/>
                <w:sz w:val="20"/>
                <w:szCs w:val="20"/>
              </w:rPr>
              <w:t xml:space="preserve">Оценка заявки (части заявки) </w:t>
            </w:r>
            <w:r>
              <w:rPr>
                <w:rFonts w:ascii="Times New Roman" w:hAnsi="Times New Roman" w:eastAsia="Calibri" w:cs="Times New Roman"/>
                <w:b/>
                <w:sz w:val="20"/>
                <w:szCs w:val="20"/>
              </w:rPr>
              <w:t xml:space="preserve">по критерию</w:t>
            </w:r>
            <w:r>
              <w:rPr>
                <w:rFonts w:ascii="Times New Roman" w:hAnsi="Times New Roman" w:eastAsia="Calibri" w:cs="Times New Roman"/>
                <w:sz w:val="20"/>
                <w:szCs w:val="20"/>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w:t>
            </w:r>
            <w:r>
              <w:rPr>
                <w:rFonts w:ascii="Times New Roman" w:hAnsi="Times New Roman" w:eastAsia="Calibri" w:cs="Times New Roman"/>
                <w:sz w:val="20"/>
                <w:szCs w:val="20"/>
              </w:rPr>
              <w:t xml:space="preserve">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p>
          <w:p>
            <w:pPr>
              <w:contextualSpacing/>
              <w:jc w:val="both"/>
              <w:widowControl w:val="off"/>
              <w:rPr>
                <w:rFonts w:ascii="Times New Roman" w:hAnsi="Times New Roman" w:cs="Times New Roman"/>
              </w:rPr>
            </w:pPr>
            <w:r>
              <w:rPr>
                <w:rFonts w:ascii="Times New Roman" w:hAnsi="Times New Roman" w:eastAsia="Calibri" w:cs="Times New Roman"/>
                <w:sz w:val="20"/>
                <w:szCs w:val="20"/>
              </w:rPr>
              <w:t xml:space="preserve">Для оценки критерия применяется показатель:</w:t>
            </w:r>
            <w:r/>
          </w:p>
          <w:p>
            <w:pPr>
              <w:numPr>
                <w:ilvl w:val="0"/>
                <w:numId w:val="2"/>
              </w:numPr>
              <w:contextualSpacing/>
              <w:ind w:left="373"/>
              <w:jc w:val="both"/>
              <w:widowControl w:val="off"/>
              <w:rPr>
                <w:rFonts w:ascii="Times New Roman" w:hAnsi="Times New Roman" w:cs="Times New Roman"/>
              </w:rPr>
            </w:pPr>
            <w:r>
              <w:rPr>
                <w:rFonts w:ascii="Times New Roman" w:hAnsi="Times New Roman" w:eastAsia="Calibri" w:cs="Times New Roman"/>
                <w:sz w:val="20"/>
                <w:szCs w:val="20"/>
              </w:rPr>
              <w:t xml:space="preserve">наличие у участников закупки опыта работы, связанного с предметом контракта;</w:t>
            </w:r>
            <w:r/>
          </w:p>
        </w:tc>
      </w:tr>
      <w:tr>
        <w:trPr>
          <w:trHeight w:val="3613"/>
        </w:trPr>
        <w:tc>
          <w:tcPr>
            <w:tcW w:w="638" w:type="dxa"/>
            <w:vMerge w:val="restart"/>
            <w:textDirection w:val="lrTb"/>
            <w:noWrap w:val="false"/>
          </w:tcPr>
          <w:p>
            <w:pPr>
              <w:jc w:val="center"/>
              <w:rPr>
                <w:rFonts w:ascii="Times New Roman" w:hAnsi="Times New Roman" w:cs="Times New Roman"/>
              </w:rPr>
            </w:pPr>
            <w:r>
              <w:rPr>
                <w:rFonts w:ascii="Times New Roman" w:hAnsi="Times New Roman" w:eastAsia="Calibri" w:cs="Times New Roman"/>
                <w:lang w:val="en-US"/>
              </w:rPr>
              <w:t xml:space="preserve">2.1</w:t>
            </w:r>
            <w:r/>
          </w:p>
        </w:tc>
        <w:tc>
          <w:tcPr>
            <w:tcW w:w="4748" w:type="dxa"/>
            <w:vMerge w:val="restart"/>
            <w:textDirection w:val="lrTb"/>
            <w:noWrap w:val="false"/>
          </w:tcPr>
          <w:p>
            <w:pPr>
              <w:jc w:val="both"/>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Показатель:</w:t>
            </w:r>
            <w:r>
              <w:rPr>
                <w:rFonts w:ascii="Times New Roman" w:hAnsi="Times New Roman" w:eastAsia="Calibri" w:cs="Times New Roman"/>
                <w:color w:val="000000" w:themeColor="text1"/>
                <w:sz w:val="20"/>
                <w:szCs w:val="20"/>
              </w:rPr>
              <w:t xml:space="preserve"> «Наличие у участников закупки опыта работы, связанного с предметом контракта»</w:t>
            </w:r>
            <w:r/>
          </w:p>
        </w:tc>
        <w:tc>
          <w:tcPr>
            <w:tcW w:w="9777" w:type="dxa"/>
            <w:vMerge w:val="restart"/>
            <w:textDirection w:val="lrTb"/>
            <w:noWrap w:val="false"/>
          </w:tcPr>
          <w:p>
            <w:pPr>
              <w:contextualSpacing/>
              <w:jc w:val="both"/>
              <w:widowControl w:val="off"/>
              <w:rPr>
                <w:rFonts w:ascii="Times New Roman" w:hAnsi="Times New Roman" w:cs="Times New Roman"/>
              </w:rPr>
            </w:pPr>
            <w:r>
              <w:rPr>
                <w:rFonts w:ascii="Times New Roman" w:hAnsi="Times New Roman" w:cs="Times New Roman"/>
                <w:sz w:val="20"/>
                <w:szCs w:val="20"/>
              </w:rPr>
              <w:t xml:space="preserve">Подпункт «</w:t>
            </w:r>
            <w:r>
              <w:rPr>
                <w:rFonts w:ascii="Times New Roman" w:hAnsi="Times New Roman" w:cs="Times New Roman"/>
                <w:b/>
                <w:sz w:val="20"/>
                <w:szCs w:val="20"/>
              </w:rPr>
              <w:t xml:space="preserve">в</w:t>
            </w:r>
            <w:r>
              <w:rPr>
                <w:rFonts w:ascii="Times New Roman" w:hAnsi="Times New Roman" w:cs="Times New Roman"/>
                <w:sz w:val="20"/>
                <w:szCs w:val="20"/>
              </w:rPr>
              <w:t xml:space="preserve">» пункта 24 Положения (Постановление Правительства РФ от 31.12.2021 N 2604)</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Оценка заявки (части заявки) </w:t>
            </w:r>
            <w:r>
              <w:rPr>
                <w:rFonts w:ascii="Times New Roman" w:hAnsi="Times New Roman" w:cs="Times New Roman"/>
                <w:b/>
                <w:sz w:val="20"/>
                <w:szCs w:val="20"/>
              </w:rPr>
              <w:t xml:space="preserve">по показателю</w:t>
            </w:r>
            <w:r>
              <w:rPr>
                <w:rFonts w:ascii="Times New Roman" w:hAnsi="Times New Roman" w:cs="Times New Roman"/>
                <w:sz w:val="20"/>
                <w:szCs w:val="20"/>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w:t>
            </w:r>
            <w:r>
              <w:rPr>
                <w:rFonts w:ascii="Times New Roman" w:hAnsi="Times New Roman" w:cs="Times New Roman"/>
                <w:sz w:val="20"/>
                <w:szCs w:val="20"/>
              </w:rPr>
              <w:t xml:space="preserve">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p>
          <w:p>
            <w:pPr>
              <w:contextualSpacing/>
              <w:jc w:val="both"/>
              <w:widowControl w:val="off"/>
              <w:rPr>
                <w:rFonts w:ascii="Times New Roman" w:hAnsi="Times New Roman" w:cs="Times New Roman"/>
              </w:rPr>
            </w:pPr>
            <w:r>
              <w:rPr>
                <w:rFonts w:ascii="Times New Roman" w:hAnsi="Times New Roman" w:eastAsia="Calibri" w:cs="Times New Roman"/>
                <w:sz w:val="20"/>
                <w:szCs w:val="20"/>
              </w:rPr>
              <w:t xml:space="preserve">Для показателя оценки по критерию оценки «Наличие у участников закупки опыта работы, связанного с предметом контракта» применяются детализирующие показатели.</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r/>
          </w:p>
          <w:p>
            <w:pPr>
              <w:contextualSpacing/>
              <w:jc w:val="both"/>
              <w:widowControl w:val="off"/>
              <w:rPr>
                <w:rFonts w:ascii="Times New Roman" w:hAnsi="Times New Roman" w:cs="Times New Roman"/>
              </w:rPr>
            </w:pPr>
            <w:r>
              <w:rPr>
                <w:rFonts w:ascii="Times New Roman" w:hAnsi="Times New Roman" w:cs="Times New Roman"/>
                <w:sz w:val="20"/>
                <w:szCs w:val="20"/>
              </w:rPr>
              <w:t xml:space="preserve">Оценка заявок по детализирующим показателям, осуществляется в порядке, установленном пунктами 20 и 21 настоящего Положения, </w:t>
            </w:r>
            <w:r>
              <w:rPr>
                <w:rFonts w:ascii="Times New Roman" w:hAnsi="Times New Roman" w:cs="Times New Roman"/>
                <w:b/>
                <w:bCs/>
                <w:sz w:val="20"/>
                <w:szCs w:val="20"/>
              </w:rPr>
              <w:t xml:space="preserve">применение шкалы оценки не допускается.</w:t>
            </w:r>
            <w:r/>
          </w:p>
        </w:tc>
      </w:tr>
      <w:tr>
        <w:trPr>
          <w:trHeight w:val="3543"/>
        </w:trPr>
        <w:tc>
          <w:tcPr>
            <w:tcW w:w="638" w:type="dxa"/>
            <w:textDirection w:val="lrTb"/>
            <w:noWrap w:val="false"/>
          </w:tcPr>
          <w:p>
            <w:pPr>
              <w:pStyle w:val="859"/>
              <w:jc w:val="center"/>
              <w:rPr>
                <w:rFonts w:ascii="Times New Roman" w:hAnsi="Times New Roman" w:cs="Times New Roman"/>
                <w:sz w:val="20"/>
              </w:rPr>
            </w:pPr>
            <w:r>
              <w:rPr>
                <w:rFonts w:ascii="Times New Roman" w:hAnsi="Times New Roman" w:cs="Times New Roman"/>
                <w:sz w:val="20"/>
              </w:rPr>
              <w:t xml:space="preserve">2.1.1</w:t>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p>
            <w:pPr>
              <w:pStyle w:val="859"/>
              <w:jc w:val="center"/>
              <w:rPr>
                <w:rFonts w:ascii="Times New Roman" w:hAnsi="Times New Roman" w:cs="Times New Roman"/>
                <w:sz w:val="20"/>
              </w:rPr>
            </w:pPr>
            <w:r>
              <w:rPr>
                <w:rFonts w:ascii="Times New Roman" w:hAnsi="Times New Roman" w:cs="Times New Roman"/>
                <w:sz w:val="20"/>
              </w:rPr>
            </w:r>
            <w:r/>
          </w:p>
        </w:tc>
        <w:tc>
          <w:tcPr>
            <w:tcW w:w="4748" w:type="dxa"/>
            <w:textDirection w:val="lrTb"/>
            <w:noWrap w:val="false"/>
          </w:tcPr>
          <w:p>
            <w:pPr>
              <w:spacing w:after="0" w:line="240" w:lineRule="auto"/>
              <w:widowControl w:val="off"/>
              <w:rPr>
                <w:rFonts w:ascii="Times New Roman" w:hAnsi="Times New Roman" w:cs="Times New Roman" w:eastAsiaTheme="minorEastAsia"/>
                <w:color w:val="000000" w:themeColor="text1"/>
                <w:sz w:val="20"/>
                <w:szCs w:val="20"/>
                <w:lang w:eastAsia="ru-RU"/>
              </w:rPr>
            </w:pPr>
            <w:r>
              <w:rPr>
                <w:rFonts w:ascii="Times New Roman" w:hAnsi="Times New Roman" w:cs="Times New Roman" w:eastAsiaTheme="minorEastAsia"/>
                <w:color w:val="000000" w:themeColor="text1"/>
                <w:sz w:val="20"/>
                <w:szCs w:val="20"/>
                <w:lang w:eastAsia="ru-RU"/>
              </w:rPr>
              <w:t xml:space="preserve">Детализирующий показатели</w:t>
            </w:r>
            <w:r/>
          </w:p>
          <w:p>
            <w:pPr>
              <w:pStyle w:val="859"/>
              <w:jc w:val="both"/>
              <w:rPr>
                <w:rFonts w:ascii="Times New Roman" w:hAnsi="Times New Roman" w:cs="Times New Roman"/>
                <w:sz w:val="20"/>
              </w:rPr>
            </w:pPr>
            <w:r>
              <w:rPr>
                <w:rFonts w:ascii="Times New Roman" w:hAnsi="Times New Roman" w:cs="Times New Roman"/>
                <w:sz w:val="20"/>
              </w:rPr>
              <w:t xml:space="preserve">Общая цена исполненных участником закупки договоров</w:t>
            </w:r>
            <w:r/>
          </w:p>
          <w:p>
            <w:pPr>
              <w:pStyle w:val="859"/>
              <w:jc w:val="both"/>
              <w:rPr>
                <w:rFonts w:ascii="Times New Roman" w:hAnsi="Times New Roman" w:cs="Times New Roman"/>
                <w:sz w:val="20"/>
              </w:rPr>
            </w:pPr>
            <w:r>
              <w:rPr>
                <w:rFonts w:ascii="Times New Roman" w:hAnsi="Times New Roman" w:cs="Times New Roman"/>
                <w:sz w:val="20"/>
              </w:rPr>
              <w:t xml:space="preserve">Общее количество исполненных участником закупки договоров</w:t>
            </w:r>
            <w:r/>
          </w:p>
          <w:p>
            <w:pPr>
              <w:pStyle w:val="859"/>
              <w:jc w:val="both"/>
              <w:rPr>
                <w:rFonts w:ascii="Times New Roman" w:hAnsi="Times New Roman" w:cs="Times New Roman"/>
                <w:color w:val="558035"/>
              </w:rPr>
            </w:pPr>
            <w:r>
              <w:rPr>
                <w:rFonts w:ascii="Times New Roman" w:hAnsi="Times New Roman" w:cs="Times New Roman"/>
                <w:sz w:val="20"/>
              </w:rPr>
              <w:t xml:space="preserve">Наибольшая цена одного из исполненных участником закупки договоров</w:t>
            </w:r>
            <w:r/>
          </w:p>
          <w:p>
            <w:pPr>
              <w:pStyle w:val="859"/>
              <w:jc w:val="both"/>
              <w:rPr>
                <w:rFonts w:ascii="Times New Roman" w:hAnsi="Times New Roman" w:cs="Times New Roman"/>
                <w:sz w:val="20"/>
              </w:rPr>
            </w:pPr>
            <w:r>
              <w:rPr>
                <w:rFonts w:ascii="Times New Roman" w:hAnsi="Times New Roman" w:cs="Times New Roman"/>
                <w:sz w:val="20"/>
              </w:rPr>
            </w:r>
            <w:r/>
          </w:p>
          <w:p>
            <w:pPr>
              <w:pStyle w:val="859"/>
              <w:jc w:val="both"/>
              <w:rPr>
                <w:rFonts w:ascii="Times New Roman" w:hAnsi="Times New Roman" w:cs="Times New Roman"/>
                <w:sz w:val="20"/>
              </w:rPr>
            </w:pPr>
            <w:r>
              <w:rPr>
                <w:rFonts w:ascii="Times New Roman" w:hAnsi="Times New Roman" w:cs="Times New Roman"/>
                <w:sz w:val="20"/>
              </w:rPr>
            </w:r>
            <w:r/>
          </w:p>
        </w:tc>
        <w:tc>
          <w:tcPr>
            <w:tcW w:w="9777" w:type="dxa"/>
            <w:textDirection w:val="lrTb"/>
            <w:noWrap w:val="false"/>
          </w:tcPr>
          <w:p>
            <w:pPr>
              <w:jc w:val="both"/>
              <w:spacing w:after="0" w:line="240" w:lineRule="auto"/>
              <w:rPr>
                <w:rFonts w:ascii="Times New Roman" w:hAnsi="Times New Roman" w:cs="Times New Roman"/>
                <w:b/>
                <w:bCs/>
                <w:color w:val="000000" w:themeColor="text1"/>
                <w:sz w:val="20"/>
                <w:szCs w:val="20"/>
              </w:rPr>
            </w:pPr>
            <w:r>
              <w:rPr>
                <w:rFonts w:ascii="Times New Roman" w:hAnsi="Times New Roman" w:cs="Times New Roman"/>
                <w:color w:val="000000" w:themeColor="text1"/>
                <w:sz w:val="20"/>
                <w:szCs w:val="20"/>
              </w:rPr>
              <w:t xml:space="preserve">К оценке принимается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r/>
          </w:p>
          <w:p>
            <w:pPr>
              <w:jc w:val="both"/>
              <w:spacing w:after="0" w:line="240" w:lineRule="auto"/>
              <w:rPr>
                <w:color w:val="000000" w:themeColor="text1"/>
                <w:highlight w:val="red"/>
              </w:rPr>
            </w:pPr>
            <w:r>
              <w:rPr>
                <w:rFonts w:ascii="Times New Roman" w:hAnsi="Times New Roman" w:cs="Times New Roman"/>
                <w:b/>
                <w:bCs/>
                <w:color w:val="000000" w:themeColor="text1"/>
                <w:sz w:val="20"/>
                <w:szCs w:val="20"/>
              </w:rPr>
              <w:t xml:space="preserve">объект капитального строительства (за исключением линейного объекта);</w:t>
            </w:r>
            <w:r/>
          </w:p>
          <w:p>
            <w:pPr>
              <w:jc w:val="both"/>
              <w:spacing w:after="0" w:line="240" w:lineRule="auto"/>
              <w:rPr>
                <w:color w:val="000000" w:themeColor="text1"/>
              </w:rPr>
            </w:pPr>
            <w:r>
              <w:rPr>
                <w:rFonts w:ascii="Times New Roman" w:hAnsi="Times New Roman" w:cs="Times New Roman"/>
                <w:color w:val="000000" w:themeColor="text1"/>
                <w:sz w:val="20"/>
                <w:szCs w:val="20"/>
              </w:rPr>
              <w:t xml:space="preserve">К оценке принимается исключительно исполненный договор (договоры), относящиеся к одному или нескольким из следующих договоров (контрактов):</w:t>
            </w:r>
            <w:r/>
          </w:p>
          <w:p>
            <w:pPr>
              <w:jc w:val="both"/>
              <w:spacing w:after="0" w:line="240" w:lineRule="auto"/>
              <w:rPr>
                <w:b/>
                <w:bCs/>
                <w:color w:val="000000" w:themeColor="text1"/>
              </w:rPr>
            </w:pPr>
            <w:r>
              <w:rPr>
                <w:rFonts w:ascii="Times New Roman" w:hAnsi="Times New Roman" w:cs="Times New Roman"/>
                <w:b/>
                <w:bCs/>
                <w:color w:val="000000" w:themeColor="text1"/>
                <w:sz w:val="20"/>
                <w:szCs w:val="20"/>
              </w:rPr>
              <w:t xml:space="preserve">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r/>
          </w:p>
          <w:p>
            <w:pPr>
              <w:jc w:val="both"/>
              <w:spacing w:after="0" w:line="240" w:lineRule="auto"/>
              <w:rPr>
                <w:b/>
                <w:bCs/>
                <w:color w:val="000000" w:themeColor="text1"/>
              </w:rPr>
            </w:pPr>
            <w:r>
              <w:rPr>
                <w:rFonts w:ascii="Times New Roman" w:hAnsi="Times New Roman" w:cs="Times New Roman"/>
                <w:b/>
                <w:bCs/>
                <w:color w:val="000000" w:themeColor="text1"/>
                <w:sz w:val="20"/>
                <w:szCs w:val="20"/>
              </w:rPr>
              <w:t xml:space="preserve">контракт, предусмотренный частью 16.1 статьи 34 Федерального закона;</w:t>
            </w:r>
            <w:r/>
          </w:p>
          <w:p>
            <w:pPr>
              <w:jc w:val="both"/>
              <w:spacing w:after="0" w:line="240" w:lineRule="auto"/>
              <w:rPr>
                <w:b/>
                <w:bCs/>
                <w:color w:val="000000" w:themeColor="text1"/>
              </w:rPr>
            </w:pPr>
            <w:r>
              <w:rPr>
                <w:rFonts w:ascii="Times New Roman" w:hAnsi="Times New Roman" w:cs="Times New Roman"/>
                <w:b/>
                <w:bCs/>
                <w:color w:val="000000" w:themeColor="text1"/>
                <w:sz w:val="20"/>
                <w:szCs w:val="20"/>
              </w:rPr>
              <w:t xml:space="preserve">контракт, предусмотренный частью 56 статьи 112 Федерального закона;</w:t>
            </w:r>
            <w:r/>
          </w:p>
          <w:p>
            <w:pPr>
              <w:jc w:val="both"/>
              <w:spacing w:after="0" w:line="240" w:lineRule="auto"/>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договор, не относящийся к контрактам, указанным в абзацах втором - четвертом настоящего подпункта, и предусматривающий выполнение р</w:t>
            </w:r>
            <w:r>
              <w:rPr>
                <w:rFonts w:ascii="Times New Roman" w:hAnsi="Times New Roman" w:cs="Times New Roman"/>
                <w:b/>
                <w:bCs/>
                <w:color w:val="000000" w:themeColor="text1"/>
                <w:sz w:val="20"/>
                <w:szCs w:val="20"/>
              </w:rPr>
              <w:t xml:space="preserve">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r/>
          </w:p>
          <w:p>
            <w:pPr>
              <w:jc w:val="both"/>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 оценке принимается исключительно исполненный договор (договоры), при исполнении которого подрядчиком исполнены требования об уплате неустоек (штрафов, пеней) (в случае начисления неустоек).</w:t>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 оценке принимаются исполненные участником закупки с учетом правопреемства (в случае наличия в заявке подтверждающе</w:t>
            </w:r>
            <w:r>
              <w:rPr>
                <w:rFonts w:ascii="Times New Roman" w:hAnsi="Times New Roman" w:cs="Times New Roman"/>
                <w:sz w:val="20"/>
                <w:szCs w:val="20"/>
              </w:rPr>
              <w:t xml:space="preserve">го документа) гражданско-правовые договоры, в том числе заключенные и исполненные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Подтверждается документами, предусмотренными </w:t>
            </w:r>
            <w:hyperlink r:id="rId16" w:tooltip="consultantplus://offline/ref=1C3E63C1D91D37286BE6D29EB771FBCE8D0F0A9C9EA79E4D4ACEB8560F4EDD3AC1B5448C58B89FCAB30E80640949272F9EA196296CFCF54BP21EH" w:history="1">
              <w:r>
                <w:rPr>
                  <w:rStyle w:val="867"/>
                  <w:rFonts w:ascii="Times New Roman" w:hAnsi="Times New Roman" w:cs="Times New Roman"/>
                  <w:color w:val="auto"/>
                  <w:sz w:val="20"/>
                  <w:szCs w:val="20"/>
                  <w:u w:val="none"/>
                </w:rPr>
                <w:t xml:space="preserve">абзацем третьим подпункта "в" пункта 28</w:t>
              </w:r>
            </w:hyperlink>
            <w:r>
              <w:rPr>
                <w:rFonts w:ascii="Times New Roman" w:hAnsi="Times New Roman" w:cs="Times New Roman"/>
                <w:sz w:val="20"/>
                <w:szCs w:val="20"/>
              </w:rPr>
              <w:t xml:space="preserve"> Положения об оценке заявок на участие в закупке товаров, работ, услуг  для обеспечения государствен</w:t>
            </w:r>
            <w:r>
              <w:rPr>
                <w:rFonts w:ascii="Times New Roman" w:hAnsi="Times New Roman" w:cs="Times New Roman"/>
                <w:sz w:val="20"/>
                <w:szCs w:val="20"/>
              </w:rPr>
              <w:t xml:space="preserve">ных и муниципальных нужд, утвержденного  постановлением Правительства Российской Федерации от 31 декабря 2021 г. № 2604 – исполненным договором (договорами), актом (актами) приемки выполненных работ, составленным при исполнении такого договора (договоров).</w:t>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Последний акт, составленный при исполнении договора, должен быть подписан не ранее чем за 5 лет до даты окончания срока подачи заявок.</w:t>
            </w:r>
            <w:r/>
          </w:p>
          <w:p>
            <w:pPr>
              <w:jc w:val="both"/>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r/>
          </w:p>
          <w:p>
            <w:pPr>
              <w:jc w:val="both"/>
              <w:spacing w:after="0" w:line="240" w:lineRule="auto"/>
              <w:rPr>
                <w:rFonts w:ascii="Times New Roman" w:hAnsi="Times New Roman" w:cs="Times New Roman"/>
                <w:bCs w:val="0"/>
                <w:i w:val="0"/>
                <w:sz w:val="20"/>
                <w:szCs w:val="20"/>
              </w:rPr>
            </w:pPr>
            <w:r>
              <w:rPr>
                <w:rFonts w:ascii="Times New Roman" w:hAnsi="Times New Roman" w:cs="Times New Roman"/>
                <w:sz w:val="20"/>
                <w:szCs w:val="20"/>
              </w:rPr>
              <w:t xml:space="preserve">Документы направляются в форме электронных документов или в форме электронных образов бумажных документов.</w:t>
            </w:r>
            <w:r>
              <w:rPr>
                <w:rFonts w:ascii="Times New Roman" w:hAnsi="Times New Roman" w:cs="Times New Roman"/>
                <w:i w:val="0"/>
                <w:iCs w:val="0"/>
                <w:sz w:val="20"/>
                <w:szCs w:val="20"/>
              </w:rPr>
              <w:t xml:space="preserve"> </w:t>
            </w:r>
            <w:r>
              <w:rPr>
                <w:rFonts w:ascii="Times New Roman" w:hAnsi="Times New Roman" w:cs="Times New Roman"/>
                <w:i w:val="0"/>
                <w:iCs w:val="0"/>
                <w:sz w:val="20"/>
                <w:szCs w:val="20"/>
              </w:rPr>
              <w:t xml:space="preserve">Е</w:t>
            </w:r>
            <w:r>
              <w:rPr>
                <w:rFonts w:ascii="Times New Roman" w:hAnsi="Times New Roman" w:cs="Times New Roman"/>
                <w:i w:val="0"/>
                <w:iCs w:val="0"/>
                <w:sz w:val="20"/>
                <w:szCs w:val="20"/>
              </w:rPr>
              <w:t xml:space="preserve">сли документы, предусмотренные абзацем третьим подпункта "в" </w:t>
            </w:r>
            <w:r>
              <w:rPr>
                <w:rFonts w:ascii="Times New Roman" w:hAnsi="Times New Roman" w:cs="Times New Roman"/>
                <w:i w:val="0"/>
                <w:iCs w:val="0"/>
                <w:sz w:val="20"/>
                <w:szCs w:val="20"/>
              </w:rPr>
              <w:t xml:space="preserve">пункта 28 Положения об оценке заявок на участие в закупке товаров, работ, услуг для обеспечения государственных и муниципальных нужд, утвержденного  ПП РФ от 31 декабря 2021 г. № 2604</w:t>
            </w:r>
            <w:r>
              <w:rPr>
                <w:rFonts w:ascii="Times New Roman" w:hAnsi="Times New Roman" w:cs="Times New Roman"/>
                <w:i w:val="0"/>
                <w:iCs w:val="0"/>
                <w:sz w:val="20"/>
                <w:szCs w:val="20"/>
              </w:rPr>
              <w:t xml:space="preserve">,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w:t>
            </w:r>
            <w:r>
              <w:rPr>
                <w:rFonts w:ascii="Times New Roman" w:hAnsi="Times New Roman" w:cs="Times New Roman"/>
                <w:i w:val="0"/>
                <w:iCs w:val="0"/>
                <w:sz w:val="20"/>
                <w:szCs w:val="20"/>
              </w:rPr>
              <w:t xml:space="preserve">е</w:t>
            </w:r>
            <w:r>
              <w:rPr>
                <w:rFonts w:ascii="Times New Roman" w:hAnsi="Times New Roman" w:cs="Times New Roman"/>
                <w:i w:val="0"/>
                <w:iCs w:val="0"/>
                <w:sz w:val="20"/>
                <w:szCs w:val="20"/>
              </w:rPr>
              <w:t xml:space="preserve">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w:t>
            </w:r>
            <w:r>
              <w:rPr>
                <w:rFonts w:ascii="Times New Roman" w:hAnsi="Times New Roman" w:cs="Times New Roman"/>
                <w:i w:val="0"/>
                <w:iCs w:val="0"/>
                <w:sz w:val="20"/>
                <w:szCs w:val="20"/>
              </w:rPr>
              <w:t xml:space="preserve">документов участник закупки вправе направить номер реестровой записи из соответствующего реестра</w:t>
            </w:r>
            <w:r>
              <w:rPr>
                <w:rFonts w:ascii="Times New Roman" w:hAnsi="Times New Roman" w:cs="Times New Roman"/>
                <w:i w:val="0"/>
                <w:iCs w:val="0"/>
                <w:sz w:val="20"/>
                <w:szCs w:val="20"/>
              </w:rPr>
            </w:r>
            <w:r>
              <w:rPr>
                <w:i w:val="0"/>
                <w:iCs w:val="0"/>
              </w:rPr>
            </w:r>
          </w:p>
        </w:tc>
      </w:tr>
    </w:tbl>
    <w:p>
      <w:pPr>
        <w:pStyle w:val="859"/>
        <w:jc w:val="both"/>
        <w:rPr>
          <w:rFonts w:ascii="Times New Roman" w:hAnsi="Times New Roman" w:cs="Times New Roman"/>
          <w:sz w:val="24"/>
          <w:szCs w:val="24"/>
        </w:rPr>
      </w:pPr>
      <w:r>
        <w:rPr>
          <w:rFonts w:ascii="Times New Roman" w:hAnsi="Times New Roman" w:cs="Times New Roman"/>
          <w:sz w:val="24"/>
          <w:szCs w:val="24"/>
        </w:rPr>
      </w:r>
      <w:r/>
    </w:p>
    <w:p>
      <w:pPr>
        <w:pStyle w:val="859"/>
        <w:rPr>
          <w:rFonts w:ascii="Times New Roman" w:hAnsi="Times New Roman" w:cs="Times New Roman"/>
          <w:sz w:val="24"/>
          <w:szCs w:val="24"/>
        </w:rPr>
        <w:outlineLvl w:val="2"/>
      </w:pPr>
      <w:r>
        <w:rPr>
          <w:rFonts w:ascii="Times New Roman" w:hAnsi="Times New Roman" w:cs="Times New Roman"/>
          <w:sz w:val="24"/>
          <w:szCs w:val="24"/>
        </w:rPr>
      </w:r>
      <w:r/>
    </w:p>
    <w:sectPr>
      <w:headerReference w:type="default" r:id="rId9"/>
      <w:footnotePr/>
      <w:endnotePr/>
      <w:type w:val="nextPage"/>
      <w:pgSz w:w="16838" w:h="11905" w:orient="landscape"/>
      <w:pgMar w:top="567" w:right="680" w:bottom="567" w:left="1134" w:header="284" w:footer="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Segoe UI">
    <w:panose1 w:val="020B0502040204020203"/>
  </w:font>
  <w:font w:name="Tahoma">
    <w:panose1 w:val="020B0604030504040204"/>
  </w:font>
  <w:font w:name="Courier New">
    <w:panose1 w:val="02070309020205020404"/>
  </w:font>
  <w:font w:name="Times New Roman">
    <w:panose1 w:val="02020603050405020304"/>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37129064"/>
      <w:docPartObj>
        <w:docPartGallery w:val="Page Numbers (Top of Page)"/>
        <w:docPartUnique w:val="true"/>
      </w:docPartObj>
      <w:rPr/>
    </w:sdtPr>
    <w:sdtContent>
      <w:p>
        <w:pPr>
          <w:pStyle w:val="711"/>
          <w:jc w:val="center"/>
        </w:pPr>
        <w:r>
          <w:fldChar w:fldCharType="begin"/>
        </w:r>
        <w:r>
          <w:instrText xml:space="preserve">PAGE   \* MERGEFORMAT</w:instrText>
        </w:r>
        <w:r>
          <w:fldChar w:fldCharType="separate"/>
        </w:r>
        <w:r>
          <w:t xml:space="preserve">2</w:t>
        </w:r>
        <w:r>
          <w:fldChar w:fldCharType="end"/>
        </w:r>
        <w:r/>
      </w:p>
    </w:sdtContent>
  </w:sdt>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
    <w:multiLevelType w:val="hybridMultilevel"/>
    <w:lvl w:ilvl="0">
      <w:start w:val="1"/>
      <w:numFmt w:val="upperRoman"/>
      <w:isLgl w:val="false"/>
      <w:suff w:val="tab"/>
      <w:lvlText w:val="%1."/>
      <w:lvlJc w:val="left"/>
      <w:pPr>
        <w:ind w:left="1080" w:hanging="72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62" w:default="1">
    <w:name w:val="Normal"/>
    <w:qFormat/>
  </w:style>
  <w:style w:type="paragraph" w:styleId="663">
    <w:name w:val="Heading 1"/>
    <w:basedOn w:val="662"/>
    <w:next w:val="662"/>
    <w:link w:val="692"/>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3"/>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4"/>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695"/>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696"/>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697"/>
    <w:uiPriority w:val="9"/>
    <w:unhideWhenUsed/>
    <w:qFormat/>
    <w:pPr>
      <w:keepLines/>
      <w:keepNext/>
      <w:spacing w:before="320" w:after="200"/>
      <w:outlineLvl w:val="5"/>
    </w:pPr>
    <w:rPr>
      <w:rFonts w:ascii="Arial" w:hAnsi="Arial" w:eastAsia="Arial" w:cs="Arial"/>
      <w:b/>
      <w:bCs/>
    </w:rPr>
  </w:style>
  <w:style w:type="paragraph" w:styleId="669">
    <w:name w:val="Heading 7"/>
    <w:basedOn w:val="662"/>
    <w:next w:val="662"/>
    <w:link w:val="698"/>
    <w:uiPriority w:val="9"/>
    <w:unhideWhenUsed/>
    <w:qFormat/>
    <w:pPr>
      <w:keepLines/>
      <w:keepNext/>
      <w:spacing w:before="320" w:after="200"/>
      <w:outlineLvl w:val="6"/>
    </w:pPr>
    <w:rPr>
      <w:rFonts w:ascii="Arial" w:hAnsi="Arial" w:eastAsia="Arial" w:cs="Arial"/>
      <w:b/>
      <w:bCs/>
      <w:i/>
      <w:iCs/>
    </w:rPr>
  </w:style>
  <w:style w:type="paragraph" w:styleId="670">
    <w:name w:val="Heading 8"/>
    <w:basedOn w:val="662"/>
    <w:next w:val="662"/>
    <w:link w:val="699"/>
    <w:uiPriority w:val="9"/>
    <w:unhideWhenUsed/>
    <w:qFormat/>
    <w:pPr>
      <w:keepLines/>
      <w:keepNext/>
      <w:spacing w:before="320" w:after="200"/>
      <w:outlineLvl w:val="7"/>
    </w:pPr>
    <w:rPr>
      <w:rFonts w:ascii="Arial" w:hAnsi="Arial" w:eastAsia="Arial" w:cs="Arial"/>
      <w:i/>
      <w:iCs/>
    </w:rPr>
  </w:style>
  <w:style w:type="paragraph" w:styleId="671">
    <w:name w:val="Heading 9"/>
    <w:basedOn w:val="662"/>
    <w:next w:val="662"/>
    <w:link w:val="700"/>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style>
  <w:style w:type="table" w:styleId="673" w:default="1">
    <w:name w:val="Normal Table"/>
    <w:uiPriority w:val="99"/>
    <w:semiHidden/>
    <w:unhideWhenUsed/>
    <w:tblPr>
      <w:tblInd w:w="0" w:type="dxa"/>
      <w:tblCellMar>
        <w:left w:w="108" w:type="dxa"/>
        <w:top w:w="0" w:type="dxa"/>
        <w:right w:w="108" w:type="dxa"/>
        <w:bottom w:w="0" w:type="dxa"/>
      </w:tblCellMar>
    </w:tblPr>
  </w:style>
  <w:style w:type="numbering" w:styleId="674" w:default="1">
    <w:name w:val="No List"/>
    <w:uiPriority w:val="99"/>
    <w:semiHidden/>
    <w:unhideWhenUsed/>
  </w:style>
  <w:style w:type="character" w:styleId="675" w:customStyle="1">
    <w:name w:val="Heading 1 Char"/>
    <w:basedOn w:val="672"/>
    <w:uiPriority w:val="9"/>
    <w:rPr>
      <w:rFonts w:ascii="Arial" w:hAnsi="Arial" w:eastAsia="Arial" w:cs="Arial"/>
      <w:sz w:val="40"/>
      <w:szCs w:val="40"/>
    </w:rPr>
  </w:style>
  <w:style w:type="character" w:styleId="676" w:customStyle="1">
    <w:name w:val="Heading 2 Char"/>
    <w:basedOn w:val="672"/>
    <w:uiPriority w:val="9"/>
    <w:rPr>
      <w:rFonts w:ascii="Arial" w:hAnsi="Arial" w:eastAsia="Arial" w:cs="Arial"/>
      <w:sz w:val="34"/>
    </w:rPr>
  </w:style>
  <w:style w:type="character" w:styleId="677" w:customStyle="1">
    <w:name w:val="Heading 3 Char"/>
    <w:basedOn w:val="672"/>
    <w:uiPriority w:val="9"/>
    <w:rPr>
      <w:rFonts w:ascii="Arial" w:hAnsi="Arial" w:eastAsia="Arial" w:cs="Arial"/>
      <w:sz w:val="30"/>
      <w:szCs w:val="30"/>
    </w:rPr>
  </w:style>
  <w:style w:type="character" w:styleId="678" w:customStyle="1">
    <w:name w:val="Heading 4 Char"/>
    <w:basedOn w:val="672"/>
    <w:uiPriority w:val="9"/>
    <w:rPr>
      <w:rFonts w:ascii="Arial" w:hAnsi="Arial" w:eastAsia="Arial" w:cs="Arial"/>
      <w:b/>
      <w:bCs/>
      <w:sz w:val="26"/>
      <w:szCs w:val="26"/>
    </w:rPr>
  </w:style>
  <w:style w:type="character" w:styleId="679" w:customStyle="1">
    <w:name w:val="Heading 5 Char"/>
    <w:basedOn w:val="672"/>
    <w:uiPriority w:val="9"/>
    <w:rPr>
      <w:rFonts w:ascii="Arial" w:hAnsi="Arial" w:eastAsia="Arial" w:cs="Arial"/>
      <w:b/>
      <w:bCs/>
      <w:sz w:val="24"/>
      <w:szCs w:val="24"/>
    </w:rPr>
  </w:style>
  <w:style w:type="character" w:styleId="680" w:customStyle="1">
    <w:name w:val="Heading 6 Char"/>
    <w:basedOn w:val="672"/>
    <w:uiPriority w:val="9"/>
    <w:rPr>
      <w:rFonts w:ascii="Arial" w:hAnsi="Arial" w:eastAsia="Arial" w:cs="Arial"/>
      <w:b/>
      <w:bCs/>
      <w:sz w:val="22"/>
      <w:szCs w:val="22"/>
    </w:rPr>
  </w:style>
  <w:style w:type="character" w:styleId="681" w:customStyle="1">
    <w:name w:val="Heading 7 Char"/>
    <w:basedOn w:val="672"/>
    <w:uiPriority w:val="9"/>
    <w:rPr>
      <w:rFonts w:ascii="Arial" w:hAnsi="Arial" w:eastAsia="Arial" w:cs="Arial"/>
      <w:b/>
      <w:bCs/>
      <w:i/>
      <w:iCs/>
      <w:sz w:val="22"/>
      <w:szCs w:val="22"/>
    </w:rPr>
  </w:style>
  <w:style w:type="character" w:styleId="682" w:customStyle="1">
    <w:name w:val="Heading 8 Char"/>
    <w:basedOn w:val="672"/>
    <w:uiPriority w:val="9"/>
    <w:rPr>
      <w:rFonts w:ascii="Arial" w:hAnsi="Arial" w:eastAsia="Arial" w:cs="Arial"/>
      <w:i/>
      <w:iCs/>
      <w:sz w:val="22"/>
      <w:szCs w:val="22"/>
    </w:rPr>
  </w:style>
  <w:style w:type="character" w:styleId="683" w:customStyle="1">
    <w:name w:val="Heading 9 Char"/>
    <w:basedOn w:val="672"/>
    <w:uiPriority w:val="9"/>
    <w:rPr>
      <w:rFonts w:ascii="Arial" w:hAnsi="Arial" w:eastAsia="Arial" w:cs="Arial"/>
      <w:i/>
      <w:iCs/>
      <w:sz w:val="21"/>
      <w:szCs w:val="21"/>
    </w:rPr>
  </w:style>
  <w:style w:type="character" w:styleId="684" w:customStyle="1">
    <w:name w:val="Title Char"/>
    <w:basedOn w:val="672"/>
    <w:uiPriority w:val="10"/>
    <w:rPr>
      <w:sz w:val="48"/>
      <w:szCs w:val="48"/>
    </w:rPr>
  </w:style>
  <w:style w:type="character" w:styleId="685" w:customStyle="1">
    <w:name w:val="Subtitle Char"/>
    <w:basedOn w:val="672"/>
    <w:uiPriority w:val="11"/>
    <w:rPr>
      <w:sz w:val="24"/>
      <w:szCs w:val="24"/>
    </w:rPr>
  </w:style>
  <w:style w:type="character" w:styleId="686" w:customStyle="1">
    <w:name w:val="Quote Char"/>
    <w:uiPriority w:val="29"/>
    <w:rPr>
      <w:i/>
    </w:rPr>
  </w:style>
  <w:style w:type="character" w:styleId="687" w:customStyle="1">
    <w:name w:val="Intense Quote Char"/>
    <w:uiPriority w:val="30"/>
    <w:rPr>
      <w:i/>
    </w:rPr>
  </w:style>
  <w:style w:type="character" w:styleId="688" w:customStyle="1">
    <w:name w:val="Header Char"/>
    <w:basedOn w:val="672"/>
    <w:uiPriority w:val="99"/>
  </w:style>
  <w:style w:type="character" w:styleId="689" w:customStyle="1">
    <w:name w:val="Caption Char"/>
    <w:uiPriority w:val="99"/>
  </w:style>
  <w:style w:type="character" w:styleId="690" w:customStyle="1">
    <w:name w:val="Footnote Text Char"/>
    <w:uiPriority w:val="99"/>
    <w:rPr>
      <w:sz w:val="18"/>
    </w:rPr>
  </w:style>
  <w:style w:type="character" w:styleId="691" w:customStyle="1">
    <w:name w:val="Endnote Text Char"/>
    <w:uiPriority w:val="99"/>
    <w:rPr>
      <w:sz w:val="20"/>
    </w:rPr>
  </w:style>
  <w:style w:type="character" w:styleId="692" w:customStyle="1">
    <w:name w:val="Заголовок 1 Знак"/>
    <w:basedOn w:val="672"/>
    <w:link w:val="663"/>
    <w:uiPriority w:val="9"/>
    <w:rPr>
      <w:rFonts w:ascii="Arial" w:hAnsi="Arial" w:eastAsia="Arial" w:cs="Arial"/>
      <w:sz w:val="40"/>
      <w:szCs w:val="40"/>
    </w:rPr>
  </w:style>
  <w:style w:type="character" w:styleId="693" w:customStyle="1">
    <w:name w:val="Заголовок 2 Знак"/>
    <w:basedOn w:val="672"/>
    <w:link w:val="664"/>
    <w:uiPriority w:val="9"/>
    <w:rPr>
      <w:rFonts w:ascii="Arial" w:hAnsi="Arial" w:eastAsia="Arial" w:cs="Arial"/>
      <w:sz w:val="34"/>
    </w:rPr>
  </w:style>
  <w:style w:type="character" w:styleId="694" w:customStyle="1">
    <w:name w:val="Заголовок 3 Знак"/>
    <w:basedOn w:val="672"/>
    <w:link w:val="665"/>
    <w:uiPriority w:val="9"/>
    <w:rPr>
      <w:rFonts w:ascii="Arial" w:hAnsi="Arial" w:eastAsia="Arial" w:cs="Arial"/>
      <w:sz w:val="30"/>
      <w:szCs w:val="30"/>
    </w:rPr>
  </w:style>
  <w:style w:type="character" w:styleId="695" w:customStyle="1">
    <w:name w:val="Заголовок 4 Знак"/>
    <w:basedOn w:val="672"/>
    <w:link w:val="666"/>
    <w:uiPriority w:val="9"/>
    <w:rPr>
      <w:rFonts w:ascii="Arial" w:hAnsi="Arial" w:eastAsia="Arial" w:cs="Arial"/>
      <w:b/>
      <w:bCs/>
      <w:sz w:val="26"/>
      <w:szCs w:val="26"/>
    </w:rPr>
  </w:style>
  <w:style w:type="character" w:styleId="696" w:customStyle="1">
    <w:name w:val="Заголовок 5 Знак"/>
    <w:basedOn w:val="672"/>
    <w:link w:val="667"/>
    <w:uiPriority w:val="9"/>
    <w:rPr>
      <w:rFonts w:ascii="Arial" w:hAnsi="Arial" w:eastAsia="Arial" w:cs="Arial"/>
      <w:b/>
      <w:bCs/>
      <w:sz w:val="24"/>
      <w:szCs w:val="24"/>
    </w:rPr>
  </w:style>
  <w:style w:type="character" w:styleId="697" w:customStyle="1">
    <w:name w:val="Заголовок 6 Знак"/>
    <w:basedOn w:val="672"/>
    <w:link w:val="668"/>
    <w:uiPriority w:val="9"/>
    <w:rPr>
      <w:rFonts w:ascii="Arial" w:hAnsi="Arial" w:eastAsia="Arial" w:cs="Arial"/>
      <w:b/>
      <w:bCs/>
      <w:sz w:val="22"/>
      <w:szCs w:val="22"/>
    </w:rPr>
  </w:style>
  <w:style w:type="character" w:styleId="698" w:customStyle="1">
    <w:name w:val="Заголовок 7 Знак"/>
    <w:basedOn w:val="672"/>
    <w:link w:val="669"/>
    <w:uiPriority w:val="9"/>
    <w:rPr>
      <w:rFonts w:ascii="Arial" w:hAnsi="Arial" w:eastAsia="Arial" w:cs="Arial"/>
      <w:b/>
      <w:bCs/>
      <w:i/>
      <w:iCs/>
      <w:sz w:val="22"/>
      <w:szCs w:val="22"/>
    </w:rPr>
  </w:style>
  <w:style w:type="character" w:styleId="699" w:customStyle="1">
    <w:name w:val="Заголовок 8 Знак"/>
    <w:basedOn w:val="672"/>
    <w:link w:val="670"/>
    <w:uiPriority w:val="9"/>
    <w:rPr>
      <w:rFonts w:ascii="Arial" w:hAnsi="Arial" w:eastAsia="Arial" w:cs="Arial"/>
      <w:i/>
      <w:iCs/>
      <w:sz w:val="22"/>
      <w:szCs w:val="22"/>
    </w:rPr>
  </w:style>
  <w:style w:type="character" w:styleId="700" w:customStyle="1">
    <w:name w:val="Заголовок 9 Знак"/>
    <w:basedOn w:val="672"/>
    <w:link w:val="671"/>
    <w:uiPriority w:val="9"/>
    <w:rPr>
      <w:rFonts w:ascii="Arial" w:hAnsi="Arial" w:eastAsia="Arial" w:cs="Arial"/>
      <w:i/>
      <w:iCs/>
      <w:sz w:val="21"/>
      <w:szCs w:val="21"/>
    </w:rPr>
  </w:style>
  <w:style w:type="paragraph" w:styleId="701">
    <w:name w:val="List Paragraph"/>
    <w:basedOn w:val="662"/>
    <w:uiPriority w:val="34"/>
    <w:qFormat/>
    <w:pPr>
      <w:contextualSpacing/>
      <w:ind w:left="720"/>
    </w:pPr>
  </w:style>
  <w:style w:type="paragraph" w:styleId="702">
    <w:name w:val="No Spacing"/>
    <w:uiPriority w:val="1"/>
    <w:qFormat/>
    <w:pPr>
      <w:spacing w:after="0" w:line="240" w:lineRule="auto"/>
    </w:pPr>
  </w:style>
  <w:style w:type="paragraph" w:styleId="703">
    <w:name w:val="Title"/>
    <w:basedOn w:val="662"/>
    <w:next w:val="662"/>
    <w:link w:val="704"/>
    <w:uiPriority w:val="10"/>
    <w:qFormat/>
    <w:pPr>
      <w:contextualSpacing/>
      <w:spacing w:before="300" w:after="200"/>
    </w:pPr>
    <w:rPr>
      <w:sz w:val="48"/>
      <w:szCs w:val="48"/>
    </w:rPr>
  </w:style>
  <w:style w:type="character" w:styleId="704" w:customStyle="1">
    <w:name w:val="Заголовок Знак"/>
    <w:basedOn w:val="672"/>
    <w:link w:val="703"/>
    <w:uiPriority w:val="10"/>
    <w:rPr>
      <w:sz w:val="48"/>
      <w:szCs w:val="48"/>
    </w:rPr>
  </w:style>
  <w:style w:type="paragraph" w:styleId="705">
    <w:name w:val="Subtitle"/>
    <w:basedOn w:val="662"/>
    <w:next w:val="662"/>
    <w:link w:val="706"/>
    <w:uiPriority w:val="11"/>
    <w:qFormat/>
    <w:pPr>
      <w:spacing w:before="200" w:after="200"/>
    </w:pPr>
    <w:rPr>
      <w:sz w:val="24"/>
      <w:szCs w:val="24"/>
    </w:rPr>
  </w:style>
  <w:style w:type="character" w:styleId="706" w:customStyle="1">
    <w:name w:val="Подзаголовок Знак"/>
    <w:basedOn w:val="672"/>
    <w:link w:val="705"/>
    <w:uiPriority w:val="11"/>
    <w:rPr>
      <w:sz w:val="24"/>
      <w:szCs w:val="24"/>
    </w:rPr>
  </w:style>
  <w:style w:type="paragraph" w:styleId="707">
    <w:name w:val="Quote"/>
    <w:basedOn w:val="662"/>
    <w:next w:val="662"/>
    <w:link w:val="708"/>
    <w:uiPriority w:val="29"/>
    <w:qFormat/>
    <w:pPr>
      <w:ind w:left="720" w:right="720"/>
    </w:pPr>
    <w:rPr>
      <w:i/>
    </w:rPr>
  </w:style>
  <w:style w:type="character" w:styleId="708" w:customStyle="1">
    <w:name w:val="Цитата 2 Знак"/>
    <w:link w:val="707"/>
    <w:uiPriority w:val="29"/>
    <w:rPr>
      <w:i/>
    </w:rPr>
  </w:style>
  <w:style w:type="paragraph" w:styleId="709">
    <w:name w:val="Intense Quote"/>
    <w:basedOn w:val="662"/>
    <w:next w:val="662"/>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Выделенная цитата Знак"/>
    <w:link w:val="709"/>
    <w:uiPriority w:val="30"/>
    <w:rPr>
      <w:i/>
    </w:rPr>
  </w:style>
  <w:style w:type="paragraph" w:styleId="711">
    <w:name w:val="Header"/>
    <w:basedOn w:val="662"/>
    <w:link w:val="712"/>
    <w:uiPriority w:val="99"/>
    <w:unhideWhenUsed/>
    <w:pPr>
      <w:spacing w:after="0" w:line="240" w:lineRule="auto"/>
      <w:tabs>
        <w:tab w:val="center" w:pos="7143" w:leader="none"/>
        <w:tab w:val="right" w:pos="14287" w:leader="none"/>
      </w:tabs>
    </w:pPr>
  </w:style>
  <w:style w:type="character" w:styleId="712" w:customStyle="1">
    <w:name w:val="Верхний колонтитул Знак"/>
    <w:basedOn w:val="672"/>
    <w:link w:val="711"/>
    <w:uiPriority w:val="99"/>
  </w:style>
  <w:style w:type="paragraph" w:styleId="713">
    <w:name w:val="Footer"/>
    <w:basedOn w:val="662"/>
    <w:link w:val="716"/>
    <w:uiPriority w:val="99"/>
    <w:unhideWhenUsed/>
    <w:pPr>
      <w:spacing w:after="0" w:line="240" w:lineRule="auto"/>
      <w:tabs>
        <w:tab w:val="center" w:pos="7143" w:leader="none"/>
        <w:tab w:val="right" w:pos="14287" w:leader="none"/>
      </w:tabs>
    </w:pPr>
  </w:style>
  <w:style w:type="character" w:styleId="714" w:customStyle="1">
    <w:name w:val="Footer Char"/>
    <w:basedOn w:val="672"/>
    <w:uiPriority w:val="99"/>
  </w:style>
  <w:style w:type="paragraph" w:styleId="715">
    <w:name w:val="Caption"/>
    <w:basedOn w:val="662"/>
    <w:next w:val="662"/>
    <w:uiPriority w:val="35"/>
    <w:semiHidden/>
    <w:unhideWhenUsed/>
    <w:qFormat/>
    <w:pPr>
      <w:spacing w:line="276" w:lineRule="auto"/>
    </w:pPr>
    <w:rPr>
      <w:b/>
      <w:bCs/>
      <w:color w:val="5b9bd5" w:themeColor="accent1"/>
      <w:sz w:val="18"/>
      <w:szCs w:val="18"/>
    </w:rPr>
  </w:style>
  <w:style w:type="character" w:styleId="716" w:customStyle="1">
    <w:name w:val="Нижний колонтитул Знак"/>
    <w:link w:val="713"/>
    <w:uiPriority w:val="99"/>
  </w:style>
  <w:style w:type="table" w:styleId="717" w:customStyle="1">
    <w:name w:val="Table Grid Light"/>
    <w:basedOn w:val="673"/>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18" w:customStyle="1">
    <w:name w:val="Таблица простая 11"/>
    <w:basedOn w:val="673"/>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Таблица простая 21"/>
    <w:basedOn w:val="67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Таблица простая 31"/>
    <w:basedOn w:val="67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Таблица простая 41"/>
    <w:basedOn w:val="67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Таблица простая 51"/>
    <w:basedOn w:val="67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Таблица-сетка 1 светлая1"/>
    <w:basedOn w:val="673"/>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73"/>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73"/>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73"/>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73"/>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73"/>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73"/>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0" w:customStyle="1">
    <w:name w:val="Таблица-сетка 21"/>
    <w:basedOn w:val="673"/>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73"/>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73"/>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73"/>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73"/>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73"/>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73"/>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7" w:customStyle="1">
    <w:name w:val="Таблица-сетка 31"/>
    <w:basedOn w:val="673"/>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73"/>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73"/>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73"/>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73"/>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73"/>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73"/>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Таблица-сетка 41"/>
    <w:basedOn w:val="673"/>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73"/>
    <w:uiPriority w:val="5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46" w:customStyle="1">
    <w:name w:val="Grid Table 4 - Accent 2"/>
    <w:basedOn w:val="673"/>
    <w:uiPriority w:val="5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47" w:customStyle="1">
    <w:name w:val="Grid Table 4 - Accent 3"/>
    <w:basedOn w:val="673"/>
    <w:uiPriority w:val="5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8" w:customStyle="1">
    <w:name w:val="Grid Table 4 - Accent 4"/>
    <w:basedOn w:val="673"/>
    <w:uiPriority w:val="5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9" w:customStyle="1">
    <w:name w:val="Grid Table 4 - Accent 5"/>
    <w:basedOn w:val="673"/>
    <w:uiPriority w:val="5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0" w:customStyle="1">
    <w:name w:val="Grid Table 4 - Accent 6"/>
    <w:basedOn w:val="673"/>
    <w:uiPriority w:val="5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1" w:customStyle="1">
    <w:name w:val="Таблица-сетка 5 темная1"/>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3" w:customStyle="1">
    <w:name w:val="Grid Table 5 Dark - Accent 2"/>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4" w:customStyle="1">
    <w:name w:val="Grid Table 5 Dark - Accent 3"/>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5" w:customStyle="1">
    <w:name w:val="Grid Table 5 Dark- Accent 4"/>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6" w:customStyle="1">
    <w:name w:val="Grid Table 5 Dark - Accent 5"/>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7" w:customStyle="1">
    <w:name w:val="Grid Table 5 Dark - Accent 6"/>
    <w:basedOn w:val="67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8" w:customStyle="1">
    <w:name w:val="Таблица-сетка 6 цветная1"/>
    <w:basedOn w:val="673"/>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9" w:customStyle="1">
    <w:name w:val="Grid Table 6 Colorful - Accent 1"/>
    <w:basedOn w:val="673"/>
    <w:uiPriority w:val="99"/>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60" w:customStyle="1">
    <w:name w:val="Grid Table 6 Colorful - Accent 2"/>
    <w:basedOn w:val="673"/>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61" w:customStyle="1">
    <w:name w:val="Grid Table 6 Colorful - Accent 3"/>
    <w:basedOn w:val="673"/>
    <w:uiPriority w:val="99"/>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2" w:customStyle="1">
    <w:name w:val="Grid Table 6 Colorful - Accent 4"/>
    <w:basedOn w:val="673"/>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3" w:customStyle="1">
    <w:name w:val="Grid Table 6 Colorful - Accent 5"/>
    <w:basedOn w:val="673"/>
    <w:uiPriority w:val="99"/>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4" w:customStyle="1">
    <w:name w:val="Grid Table 6 Colorful - Accent 6"/>
    <w:basedOn w:val="673"/>
    <w:uiPriority w:val="99"/>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5" w:customStyle="1">
    <w:name w:val="Таблица-сетка 7 цветная1"/>
    <w:basedOn w:val="673"/>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66" w:customStyle="1">
    <w:name w:val="Grid Table 7 Colorful - Accent 1"/>
    <w:basedOn w:val="673"/>
    <w:uiPriority w:val="99"/>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67" w:customStyle="1">
    <w:name w:val="Grid Table 7 Colorful - Accent 2"/>
    <w:basedOn w:val="673"/>
    <w:uiPriority w:val="99"/>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68" w:customStyle="1">
    <w:name w:val="Grid Table 7 Colorful - Accent 3"/>
    <w:basedOn w:val="673"/>
    <w:uiPriority w:val="99"/>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69" w:customStyle="1">
    <w:name w:val="Grid Table 7 Colorful - Accent 4"/>
    <w:basedOn w:val="673"/>
    <w:uiPriority w:val="99"/>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70" w:customStyle="1">
    <w:name w:val="Grid Table 7 Colorful - Accent 5"/>
    <w:basedOn w:val="673"/>
    <w:uiPriority w:val="99"/>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71" w:customStyle="1">
    <w:name w:val="Grid Table 7 Colorful - Accent 6"/>
    <w:basedOn w:val="673"/>
    <w:uiPriority w:val="99"/>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72" w:customStyle="1">
    <w:name w:val="Список-таблица 1 светлая1"/>
    <w:basedOn w:val="673"/>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73"/>
    <w:uiPriority w:val="99"/>
    <w:pPr>
      <w:spacing w:after="0" w:line="240" w:lineRule="auto"/>
    </w:pPr>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73"/>
    <w:uiPriority w:val="99"/>
    <w:pPr>
      <w:spacing w:after="0" w:line="240" w:lineRule="auto"/>
    </w:p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73"/>
    <w:uiPriority w:val="99"/>
    <w:pPr>
      <w:spacing w:after="0" w:line="240" w:lineRule="auto"/>
    </w:p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73"/>
    <w:uiPriority w:val="99"/>
    <w:pPr>
      <w:spacing w:after="0" w:line="240" w:lineRule="auto"/>
    </w:p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73"/>
    <w:uiPriority w:val="99"/>
    <w:pPr>
      <w:spacing w:after="0" w:line="240" w:lineRule="auto"/>
    </w:pPr>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73"/>
    <w:uiPriority w:val="99"/>
    <w:pPr>
      <w:spacing w:after="0" w:line="240" w:lineRule="auto"/>
    </w:p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9" w:customStyle="1">
    <w:name w:val="Список-таблица 21"/>
    <w:basedOn w:val="673"/>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0" w:customStyle="1">
    <w:name w:val="List Table 2 - Accent 1"/>
    <w:basedOn w:val="673"/>
    <w:uiPriority w:val="99"/>
    <w:pPr>
      <w:spacing w:after="0" w:line="240" w:lineRule="auto"/>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1" w:customStyle="1">
    <w:name w:val="List Table 2 - Accent 2"/>
    <w:basedOn w:val="673"/>
    <w:uiPriority w:val="99"/>
    <w:pPr>
      <w:spacing w:after="0" w:line="240" w:lineRule="auto"/>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2" w:customStyle="1">
    <w:name w:val="List Table 2 - Accent 3"/>
    <w:basedOn w:val="673"/>
    <w:uiPriority w:val="99"/>
    <w:pPr>
      <w:spacing w:after="0" w:line="240" w:lineRule="auto"/>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3" w:customStyle="1">
    <w:name w:val="List Table 2 - Accent 4"/>
    <w:basedOn w:val="673"/>
    <w:uiPriority w:val="99"/>
    <w:pPr>
      <w:spacing w:after="0" w:line="240" w:lineRule="auto"/>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4" w:customStyle="1">
    <w:name w:val="List Table 2 - Accent 5"/>
    <w:basedOn w:val="673"/>
    <w:uiPriority w:val="99"/>
    <w:pPr>
      <w:spacing w:after="0" w:line="240" w:lineRule="auto"/>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5" w:customStyle="1">
    <w:name w:val="List Table 2 - Accent 6"/>
    <w:basedOn w:val="673"/>
    <w:uiPriority w:val="99"/>
    <w:pPr>
      <w:spacing w:after="0" w:line="240" w:lineRule="auto"/>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6" w:customStyle="1">
    <w:name w:val="Список-таблица 31"/>
    <w:basedOn w:val="67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73"/>
    <w:uiPriority w:val="99"/>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3 - Accent 2"/>
    <w:basedOn w:val="673"/>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73"/>
    <w:uiPriority w:val="99"/>
    <w:pPr>
      <w:spacing w:after="0" w:line="240" w:lineRule="auto"/>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73"/>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73"/>
    <w:uiPriority w:val="99"/>
    <w:pPr>
      <w:spacing w:after="0" w:line="240" w:lineRule="auto"/>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73"/>
    <w:uiPriority w:val="99"/>
    <w:pPr>
      <w:spacing w:after="0" w:line="240" w:lineRule="auto"/>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3" w:customStyle="1">
    <w:name w:val="Список-таблица 41"/>
    <w:basedOn w:val="67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73"/>
    <w:uiPriority w:val="9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5" w:customStyle="1">
    <w:name w:val="List Table 4 - Accent 2"/>
    <w:basedOn w:val="673"/>
    <w:uiPriority w:val="9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6" w:customStyle="1">
    <w:name w:val="List Table 4 - Accent 3"/>
    <w:basedOn w:val="673"/>
    <w:uiPriority w:val="9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7" w:customStyle="1">
    <w:name w:val="List Table 4 - Accent 4"/>
    <w:basedOn w:val="673"/>
    <w:uiPriority w:val="9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8" w:customStyle="1">
    <w:name w:val="List Table 4 - Accent 5"/>
    <w:basedOn w:val="673"/>
    <w:uiPriority w:val="9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9" w:customStyle="1">
    <w:name w:val="List Table 4 - Accent 6"/>
    <w:basedOn w:val="673"/>
    <w:uiPriority w:val="9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0" w:customStyle="1">
    <w:name w:val="Список-таблица 5 темная1"/>
    <w:basedOn w:val="673"/>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1" w:customStyle="1">
    <w:name w:val="List Table 5 Dark - Accent 1"/>
    <w:basedOn w:val="673"/>
    <w:uiPriority w:val="99"/>
    <w:pPr>
      <w:spacing w:after="0" w:line="240" w:lineRule="auto"/>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2" w:customStyle="1">
    <w:name w:val="List Table 5 Dark - Accent 2"/>
    <w:basedOn w:val="673"/>
    <w:uiPriority w:val="99"/>
    <w:pPr>
      <w:spacing w:after="0" w:line="240" w:lineRule="auto"/>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3" w:customStyle="1">
    <w:name w:val="List Table 5 Dark - Accent 3"/>
    <w:basedOn w:val="673"/>
    <w:uiPriority w:val="99"/>
    <w:pPr>
      <w:spacing w:after="0" w:line="240" w:lineRule="auto"/>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4" w:customStyle="1">
    <w:name w:val="List Table 5 Dark - Accent 4"/>
    <w:basedOn w:val="673"/>
    <w:uiPriority w:val="99"/>
    <w:pPr>
      <w:spacing w:after="0" w:line="240" w:lineRule="auto"/>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05" w:customStyle="1">
    <w:name w:val="List Table 5 Dark - Accent 5"/>
    <w:basedOn w:val="673"/>
    <w:uiPriority w:val="99"/>
    <w:pPr>
      <w:spacing w:after="0" w:line="240" w:lineRule="auto"/>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06" w:customStyle="1">
    <w:name w:val="List Table 5 Dark - Accent 6"/>
    <w:basedOn w:val="673"/>
    <w:uiPriority w:val="99"/>
    <w:pPr>
      <w:spacing w:after="0" w:line="240" w:lineRule="auto"/>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7" w:customStyle="1">
    <w:name w:val="Список-таблица 6 цветная1"/>
    <w:basedOn w:val="673"/>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8" w:customStyle="1">
    <w:name w:val="List Table 6 Colorful - Accent 1"/>
    <w:basedOn w:val="673"/>
    <w:uiPriority w:val="99"/>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9" w:customStyle="1">
    <w:name w:val="List Table 6 Colorful - Accent 2"/>
    <w:basedOn w:val="673"/>
    <w:uiPriority w:val="99"/>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10" w:customStyle="1">
    <w:name w:val="List Table 6 Colorful - Accent 3"/>
    <w:basedOn w:val="673"/>
    <w:uiPriority w:val="99"/>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11" w:customStyle="1">
    <w:name w:val="List Table 6 Colorful - Accent 4"/>
    <w:basedOn w:val="673"/>
    <w:uiPriority w:val="99"/>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12" w:customStyle="1">
    <w:name w:val="List Table 6 Colorful - Accent 5"/>
    <w:basedOn w:val="673"/>
    <w:uiPriority w:val="99"/>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13" w:customStyle="1">
    <w:name w:val="List Table 6 Colorful - Accent 6"/>
    <w:basedOn w:val="673"/>
    <w:uiPriority w:val="99"/>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4" w:customStyle="1">
    <w:name w:val="Список-таблица 7 цветная1"/>
    <w:basedOn w:val="673"/>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15" w:customStyle="1">
    <w:name w:val="List Table 7 Colorful - Accent 1"/>
    <w:basedOn w:val="673"/>
    <w:uiPriority w:val="99"/>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16" w:customStyle="1">
    <w:name w:val="List Table 7 Colorful - Accent 2"/>
    <w:basedOn w:val="673"/>
    <w:uiPriority w:val="99"/>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17" w:customStyle="1">
    <w:name w:val="List Table 7 Colorful - Accent 3"/>
    <w:basedOn w:val="673"/>
    <w:uiPriority w:val="99"/>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18" w:customStyle="1">
    <w:name w:val="List Table 7 Colorful - Accent 4"/>
    <w:basedOn w:val="673"/>
    <w:uiPriority w:val="99"/>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19" w:customStyle="1">
    <w:name w:val="List Table 7 Colorful - Accent 5"/>
    <w:basedOn w:val="673"/>
    <w:uiPriority w:val="99"/>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20" w:customStyle="1">
    <w:name w:val="List Table 7 Colorful - Accent 6"/>
    <w:basedOn w:val="673"/>
    <w:uiPriority w:val="99"/>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21" w:customStyle="1">
    <w:name w:val="Lined - Accent"/>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2" w:customStyle="1">
    <w:name w:val="Lined - Accent 1"/>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3" w:customStyle="1">
    <w:name w:val="Lined - Accent 2"/>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4" w:customStyle="1">
    <w:name w:val="Lined - Accent 3"/>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Lined - Accent 4"/>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6" w:customStyle="1">
    <w:name w:val="Lined - Accent 5"/>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Lined - Accent 6"/>
    <w:basedOn w:val="673"/>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amp; Lined - Accent"/>
    <w:basedOn w:val="673"/>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9" w:customStyle="1">
    <w:name w:val="Bordered &amp; Lined - Accent 1"/>
    <w:basedOn w:val="673"/>
    <w:uiPriority w:val="99"/>
    <w:pPr>
      <w:spacing w:after="0" w:line="240" w:lineRule="auto"/>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0" w:customStyle="1">
    <w:name w:val="Bordered &amp; Lined - Accent 2"/>
    <w:basedOn w:val="673"/>
    <w:uiPriority w:val="99"/>
    <w:pPr>
      <w:spacing w:after="0" w:line="240" w:lineRule="auto"/>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1" w:customStyle="1">
    <w:name w:val="Bordered &amp; Lined - Accent 3"/>
    <w:basedOn w:val="673"/>
    <w:uiPriority w:val="99"/>
    <w:pPr>
      <w:spacing w:after="0" w:line="240" w:lineRule="auto"/>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2" w:customStyle="1">
    <w:name w:val="Bordered &amp; Lined - Accent 4"/>
    <w:basedOn w:val="673"/>
    <w:uiPriority w:val="99"/>
    <w:pPr>
      <w:spacing w:after="0" w:line="240" w:lineRule="auto"/>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3" w:customStyle="1">
    <w:name w:val="Bordered &amp; Lined - Accent 5"/>
    <w:basedOn w:val="673"/>
    <w:uiPriority w:val="99"/>
    <w:pPr>
      <w:spacing w:after="0" w:line="240" w:lineRule="auto"/>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4" w:customStyle="1">
    <w:name w:val="Bordered &amp; Lined - Accent 6"/>
    <w:basedOn w:val="673"/>
    <w:uiPriority w:val="99"/>
    <w:pPr>
      <w:spacing w:after="0" w:line="240" w:lineRule="auto"/>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5" w:customStyle="1">
    <w:name w:val="Bordered"/>
    <w:basedOn w:val="673"/>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6" w:customStyle="1">
    <w:name w:val="Bordered - Accent 1"/>
    <w:basedOn w:val="673"/>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7" w:customStyle="1">
    <w:name w:val="Bordered - Accent 2"/>
    <w:basedOn w:val="673"/>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8" w:customStyle="1">
    <w:name w:val="Bordered - Accent 3"/>
    <w:basedOn w:val="673"/>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9" w:customStyle="1">
    <w:name w:val="Bordered - Accent 4"/>
    <w:basedOn w:val="673"/>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40" w:customStyle="1">
    <w:name w:val="Bordered - Accent 5"/>
    <w:basedOn w:val="673"/>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41" w:customStyle="1">
    <w:name w:val="Bordered - Accent 6"/>
    <w:basedOn w:val="673"/>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42">
    <w:name w:val="footnote text"/>
    <w:basedOn w:val="662"/>
    <w:link w:val="843"/>
    <w:uiPriority w:val="99"/>
    <w:semiHidden/>
    <w:unhideWhenUsed/>
    <w:pPr>
      <w:spacing w:after="40" w:line="240" w:lineRule="auto"/>
    </w:pPr>
    <w:rPr>
      <w:sz w:val="18"/>
    </w:rPr>
  </w:style>
  <w:style w:type="character" w:styleId="843" w:customStyle="1">
    <w:name w:val="Текст сноски Знак"/>
    <w:link w:val="842"/>
    <w:uiPriority w:val="99"/>
    <w:rPr>
      <w:sz w:val="18"/>
    </w:rPr>
  </w:style>
  <w:style w:type="character" w:styleId="844">
    <w:name w:val="footnote reference"/>
    <w:basedOn w:val="672"/>
    <w:uiPriority w:val="99"/>
    <w:unhideWhenUsed/>
    <w:rPr>
      <w:vertAlign w:val="superscript"/>
    </w:rPr>
  </w:style>
  <w:style w:type="paragraph" w:styleId="845">
    <w:name w:val="endnote text"/>
    <w:basedOn w:val="662"/>
    <w:link w:val="846"/>
    <w:uiPriority w:val="99"/>
    <w:semiHidden/>
    <w:unhideWhenUsed/>
    <w:pPr>
      <w:spacing w:after="0" w:line="240" w:lineRule="auto"/>
    </w:pPr>
    <w:rPr>
      <w:sz w:val="20"/>
    </w:rPr>
  </w:style>
  <w:style w:type="character" w:styleId="846" w:customStyle="1">
    <w:name w:val="Текст концевой сноски Знак"/>
    <w:link w:val="845"/>
    <w:uiPriority w:val="99"/>
    <w:rPr>
      <w:sz w:val="20"/>
    </w:rPr>
  </w:style>
  <w:style w:type="character" w:styleId="847">
    <w:name w:val="endnote reference"/>
    <w:basedOn w:val="672"/>
    <w:uiPriority w:val="99"/>
    <w:semiHidden/>
    <w:unhideWhenUsed/>
    <w:rPr>
      <w:vertAlign w:val="superscript"/>
    </w:rPr>
  </w:style>
  <w:style w:type="paragraph" w:styleId="848">
    <w:name w:val="toc 1"/>
    <w:basedOn w:val="662"/>
    <w:next w:val="662"/>
    <w:uiPriority w:val="39"/>
    <w:unhideWhenUsed/>
    <w:pPr>
      <w:spacing w:after="57"/>
    </w:pPr>
  </w:style>
  <w:style w:type="paragraph" w:styleId="849">
    <w:name w:val="toc 2"/>
    <w:basedOn w:val="662"/>
    <w:next w:val="662"/>
    <w:uiPriority w:val="39"/>
    <w:unhideWhenUsed/>
    <w:pPr>
      <w:ind w:left="283"/>
      <w:spacing w:after="57"/>
    </w:pPr>
  </w:style>
  <w:style w:type="paragraph" w:styleId="850">
    <w:name w:val="toc 3"/>
    <w:basedOn w:val="662"/>
    <w:next w:val="662"/>
    <w:uiPriority w:val="39"/>
    <w:unhideWhenUsed/>
    <w:pPr>
      <w:ind w:left="567"/>
      <w:spacing w:after="57"/>
    </w:pPr>
  </w:style>
  <w:style w:type="paragraph" w:styleId="851">
    <w:name w:val="toc 4"/>
    <w:basedOn w:val="662"/>
    <w:next w:val="662"/>
    <w:uiPriority w:val="39"/>
    <w:unhideWhenUsed/>
    <w:pPr>
      <w:ind w:left="850"/>
      <w:spacing w:after="57"/>
    </w:pPr>
  </w:style>
  <w:style w:type="paragraph" w:styleId="852">
    <w:name w:val="toc 5"/>
    <w:basedOn w:val="662"/>
    <w:next w:val="662"/>
    <w:uiPriority w:val="39"/>
    <w:unhideWhenUsed/>
    <w:pPr>
      <w:ind w:left="1134"/>
      <w:spacing w:after="57"/>
    </w:pPr>
  </w:style>
  <w:style w:type="paragraph" w:styleId="853">
    <w:name w:val="toc 6"/>
    <w:basedOn w:val="662"/>
    <w:next w:val="662"/>
    <w:uiPriority w:val="39"/>
    <w:unhideWhenUsed/>
    <w:pPr>
      <w:ind w:left="1417"/>
      <w:spacing w:after="57"/>
    </w:pPr>
  </w:style>
  <w:style w:type="paragraph" w:styleId="854">
    <w:name w:val="toc 7"/>
    <w:basedOn w:val="662"/>
    <w:next w:val="662"/>
    <w:uiPriority w:val="39"/>
    <w:unhideWhenUsed/>
    <w:pPr>
      <w:ind w:left="1701"/>
      <w:spacing w:after="57"/>
    </w:pPr>
  </w:style>
  <w:style w:type="paragraph" w:styleId="855">
    <w:name w:val="toc 8"/>
    <w:basedOn w:val="662"/>
    <w:next w:val="662"/>
    <w:uiPriority w:val="39"/>
    <w:unhideWhenUsed/>
    <w:pPr>
      <w:ind w:left="1984"/>
      <w:spacing w:after="57"/>
    </w:pPr>
  </w:style>
  <w:style w:type="paragraph" w:styleId="856">
    <w:name w:val="toc 9"/>
    <w:basedOn w:val="662"/>
    <w:next w:val="662"/>
    <w:uiPriority w:val="39"/>
    <w:unhideWhenUsed/>
    <w:pPr>
      <w:ind w:left="2268"/>
      <w:spacing w:after="57"/>
    </w:pPr>
  </w:style>
  <w:style w:type="paragraph" w:styleId="857">
    <w:name w:val="TOC Heading"/>
    <w:uiPriority w:val="39"/>
    <w:unhideWhenUsed/>
  </w:style>
  <w:style w:type="paragraph" w:styleId="858">
    <w:name w:val="table of figures"/>
    <w:basedOn w:val="662"/>
    <w:next w:val="662"/>
    <w:uiPriority w:val="99"/>
    <w:unhideWhenUsed/>
    <w:pPr>
      <w:spacing w:after="0"/>
    </w:pPr>
  </w:style>
  <w:style w:type="paragraph" w:styleId="859" w:customStyle="1">
    <w:name w:val="ConsPlusNormal"/>
    <w:pPr>
      <w:spacing w:after="0" w:line="240" w:lineRule="auto"/>
      <w:widowControl w:val="off"/>
    </w:pPr>
    <w:rPr>
      <w:rFonts w:ascii="Calibri" w:hAnsi="Calibri" w:eastAsia="Times New Roman" w:cs="Calibri"/>
      <w:szCs w:val="20"/>
      <w:lang w:eastAsia="ru-RU"/>
    </w:rPr>
  </w:style>
  <w:style w:type="paragraph" w:styleId="860" w:customStyle="1">
    <w:name w:val="ConsPlusNonformat"/>
    <w:pPr>
      <w:spacing w:after="0" w:line="240" w:lineRule="auto"/>
      <w:widowControl w:val="off"/>
    </w:pPr>
    <w:rPr>
      <w:rFonts w:ascii="Courier New" w:hAnsi="Courier New" w:eastAsia="Times New Roman" w:cs="Courier New"/>
      <w:sz w:val="20"/>
      <w:szCs w:val="20"/>
      <w:lang w:eastAsia="ru-RU"/>
    </w:rPr>
  </w:style>
  <w:style w:type="paragraph" w:styleId="861" w:customStyle="1">
    <w:name w:val="ConsPlusTitle"/>
    <w:pPr>
      <w:spacing w:after="0" w:line="240" w:lineRule="auto"/>
      <w:widowControl w:val="off"/>
    </w:pPr>
    <w:rPr>
      <w:rFonts w:ascii="Calibri" w:hAnsi="Calibri" w:eastAsia="Times New Roman" w:cs="Calibri"/>
      <w:b/>
      <w:szCs w:val="20"/>
      <w:lang w:eastAsia="ru-RU"/>
    </w:rPr>
  </w:style>
  <w:style w:type="paragraph" w:styleId="862" w:customStyle="1">
    <w:name w:val="ConsPlusCell"/>
    <w:pPr>
      <w:spacing w:after="0" w:line="240" w:lineRule="auto"/>
      <w:widowControl w:val="off"/>
    </w:pPr>
    <w:rPr>
      <w:rFonts w:ascii="Courier New" w:hAnsi="Courier New" w:eastAsia="Times New Roman" w:cs="Courier New"/>
      <w:sz w:val="20"/>
      <w:szCs w:val="20"/>
      <w:lang w:eastAsia="ru-RU"/>
    </w:rPr>
  </w:style>
  <w:style w:type="paragraph" w:styleId="863" w:customStyle="1">
    <w:name w:val="ConsPlusDocList"/>
    <w:pPr>
      <w:spacing w:after="0" w:line="240" w:lineRule="auto"/>
      <w:widowControl w:val="off"/>
    </w:pPr>
    <w:rPr>
      <w:rFonts w:ascii="Calibri" w:hAnsi="Calibri" w:eastAsia="Times New Roman" w:cs="Calibri"/>
      <w:szCs w:val="20"/>
      <w:lang w:eastAsia="ru-RU"/>
    </w:rPr>
  </w:style>
  <w:style w:type="paragraph" w:styleId="864" w:customStyle="1">
    <w:name w:val="ConsPlusTitlePage"/>
    <w:pPr>
      <w:spacing w:after="0" w:line="240" w:lineRule="auto"/>
      <w:widowControl w:val="off"/>
    </w:pPr>
    <w:rPr>
      <w:rFonts w:ascii="Tahoma" w:hAnsi="Tahoma" w:eastAsia="Times New Roman" w:cs="Tahoma"/>
      <w:sz w:val="20"/>
      <w:szCs w:val="20"/>
      <w:lang w:eastAsia="ru-RU"/>
    </w:rPr>
  </w:style>
  <w:style w:type="paragraph" w:styleId="865" w:customStyle="1">
    <w:name w:val="ConsPlusJurTerm"/>
    <w:pPr>
      <w:spacing w:after="0" w:line="240" w:lineRule="auto"/>
      <w:widowControl w:val="off"/>
    </w:pPr>
    <w:rPr>
      <w:rFonts w:ascii="Tahoma" w:hAnsi="Tahoma" w:eastAsia="Times New Roman" w:cs="Tahoma"/>
      <w:sz w:val="26"/>
      <w:szCs w:val="20"/>
      <w:lang w:eastAsia="ru-RU"/>
    </w:rPr>
  </w:style>
  <w:style w:type="paragraph" w:styleId="866" w:customStyle="1">
    <w:name w:val="ConsPlusTextList"/>
    <w:pPr>
      <w:spacing w:after="0" w:line="240" w:lineRule="auto"/>
      <w:widowControl w:val="off"/>
    </w:pPr>
    <w:rPr>
      <w:rFonts w:ascii="Arial" w:hAnsi="Arial" w:eastAsia="Times New Roman" w:cs="Arial"/>
      <w:sz w:val="20"/>
      <w:szCs w:val="20"/>
      <w:lang w:eastAsia="ru-RU"/>
    </w:rPr>
  </w:style>
  <w:style w:type="character" w:styleId="867">
    <w:name w:val="Hyperlink"/>
    <w:basedOn w:val="672"/>
    <w:uiPriority w:val="99"/>
    <w:unhideWhenUsed/>
    <w:rPr>
      <w:color w:val="0563c1" w:themeColor="hyperlink"/>
      <w:u w:val="single"/>
    </w:rPr>
  </w:style>
  <w:style w:type="paragraph" w:styleId="868" w:customStyle="1">
    <w:name w:val="ConsNonformat"/>
    <w:pPr>
      <w:ind w:right="19772"/>
      <w:spacing w:after="0" w:line="240" w:lineRule="auto"/>
      <w:widowControl w:val="off"/>
    </w:pPr>
    <w:rPr>
      <w:rFonts w:ascii="Courier New" w:hAnsi="Courier New" w:eastAsia="Times New Roman" w:cs="Courier New"/>
      <w:sz w:val="20"/>
      <w:szCs w:val="20"/>
      <w:lang w:eastAsia="ru-RU"/>
    </w:rPr>
  </w:style>
  <w:style w:type="table" w:styleId="869">
    <w:name w:val="Table Grid"/>
    <w:basedOn w:val="673"/>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0">
    <w:name w:val="Balloon Text"/>
    <w:basedOn w:val="662"/>
    <w:link w:val="871"/>
    <w:uiPriority w:val="99"/>
    <w:semiHidden/>
    <w:unhideWhenUsed/>
    <w:pPr>
      <w:spacing w:after="0" w:line="240" w:lineRule="auto"/>
    </w:pPr>
    <w:rPr>
      <w:rFonts w:ascii="Segoe UI" w:hAnsi="Segoe UI" w:cs="Segoe UI"/>
      <w:sz w:val="18"/>
      <w:szCs w:val="18"/>
    </w:rPr>
  </w:style>
  <w:style w:type="character" w:styleId="871" w:customStyle="1">
    <w:name w:val="Текст выноски Знак"/>
    <w:basedOn w:val="672"/>
    <w:link w:val="870"/>
    <w:uiPriority w:val="99"/>
    <w:semiHidden/>
    <w:rPr>
      <w:rFonts w:ascii="Segoe UI" w:hAnsi="Segoe UI" w:cs="Segoe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hyperlink" Target="consultantplus://offline/ref=1C3E63C1D91D37286BE6D29EB771FBCE8D0F0A9C9EA79E4D4ACEB8560F4EDD3AC1B5448C58B89FCAB30E80640949272F9EA196296CFCF54BP21EH"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F3112-36DD-4197-A0F0-FD7E981F9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Р7-Офис/7.2.2.36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16</cp:revision>
  <dcterms:created xsi:type="dcterms:W3CDTF">2023-11-17T13:37:00Z</dcterms:created>
  <dcterms:modified xsi:type="dcterms:W3CDTF">2025-01-31T11:29:09Z</dcterms:modified>
</cp:coreProperties>
</file>