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4"/>
        <w:jc w:val="center"/>
        <w:rPr>
          <w:rFonts w:ascii="Times New Roman" w:hAnsi="Times New Roman" w:eastAsia="Courier New" w:cs="Times New Roman"/>
          <w:b/>
          <w:sz w:val="20"/>
          <w:szCs w:val="20"/>
        </w:rPr>
      </w:pPr>
      <w:r>
        <w:rPr>
          <w:rFonts w:ascii="Times New Roman" w:hAnsi="Times New Roman" w:eastAsia="Courier New" w:cs="Times New Roman"/>
          <w:b/>
          <w:sz w:val="20"/>
          <w:szCs w:val="20"/>
        </w:rPr>
        <w:t xml:space="preserve">ТРЕБОВАНИЯ К СОДЕРЖАНИЮ, СОСТАВУ ЗАЯВКИ НА УЧАСТИЕ В ЗАКУПКЕ </w:t>
      </w:r>
      <w:r/>
    </w:p>
    <w:p>
      <w:pPr>
        <w:pStyle w:val="844"/>
        <w:jc w:val="center"/>
        <w:rPr>
          <w:rFonts w:ascii="Times New Roman" w:hAnsi="Times New Roman" w:eastAsia="Courier New" w:cs="Times New Roman"/>
          <w:b/>
          <w:sz w:val="20"/>
          <w:szCs w:val="20"/>
        </w:rPr>
      </w:pPr>
      <w:r>
        <w:rPr>
          <w:rFonts w:ascii="Times New Roman" w:hAnsi="Times New Roman" w:eastAsia="Courier New" w:cs="Times New Roman"/>
          <w:b/>
          <w:sz w:val="20"/>
          <w:szCs w:val="20"/>
        </w:rPr>
        <w:t xml:space="preserve">И ИНСТРУКЦИЯ ПО ЕЕ ЗАПОЛНЕНИЮ</w:t>
      </w:r>
      <w:r/>
    </w:p>
    <w:p>
      <w:pPr>
        <w:pStyle w:val="844"/>
        <w:jc w:val="center"/>
        <w:rPr>
          <w:rFonts w:ascii="Times New Roman" w:hAnsi="Times New Roman" w:eastAsia="Courier New" w:cs="Times New Roman"/>
          <w:sz w:val="20"/>
          <w:szCs w:val="20"/>
        </w:rPr>
      </w:pPr>
      <w:r>
        <w:rPr>
          <w:rFonts w:ascii="Times New Roman" w:hAnsi="Times New Roman" w:eastAsia="Courier New" w:cs="Times New Roman"/>
          <w:sz w:val="20"/>
          <w:szCs w:val="20"/>
        </w:rPr>
      </w:r>
      <w:r/>
    </w:p>
    <w:tbl>
      <w:tblPr>
        <w:tblStyle w:val="847"/>
        <w:tblW w:w="10881" w:type="dxa"/>
        <w:tblLook w:val="04A0" w:firstRow="1" w:lastRow="0" w:firstColumn="1" w:lastColumn="0" w:noHBand="0" w:noVBand="1"/>
      </w:tblPr>
      <w:tblGrid>
        <w:gridCol w:w="534"/>
        <w:gridCol w:w="5103"/>
        <w:gridCol w:w="5244"/>
      </w:tblGrid>
      <w:tr>
        <w:trPr/>
        <w:tc>
          <w:tcPr>
            <w:tcW w:w="534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№ п/п</w:t>
            </w:r>
            <w:r/>
          </w:p>
        </w:tc>
        <w:tc>
          <w:tcPr>
            <w:tcW w:w="5103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Требования к содержанию, составу заявки </w:t>
            </w:r>
            <w:r/>
          </w:p>
          <w:p>
            <w:pPr>
              <w:pStyle w:val="844"/>
              <w:jc w:val="center"/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на участие в закупке</w:t>
            </w:r>
            <w:r/>
          </w:p>
        </w:tc>
        <w:tc>
          <w:tcPr>
            <w:tcW w:w="5244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Текст пояснений</w:t>
            </w:r>
            <w:r/>
          </w:p>
        </w:tc>
      </w:tr>
      <w:tr>
        <w:trPr>
          <w:trHeight w:val="495"/>
        </w:trPr>
        <w:tc>
          <w:tcPr>
            <w:gridSpan w:val="3"/>
            <w:shd w:val="clear" w:color="auto" w:fill="d9d9d9" w:themeFill="background1" w:themeFillShade="D9"/>
            <w:tcW w:w="10881" w:type="dxa"/>
            <w:vAlign w:val="center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1. </w:t>
            </w: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Информация и документы об участнике закупки</w:t>
            </w:r>
            <w:r/>
          </w:p>
        </w:tc>
      </w:tr>
      <w:tr>
        <w:trPr/>
        <w:tc>
          <w:tcPr>
            <w:tcW w:w="534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1.</w:t>
            </w:r>
            <w:r/>
          </w:p>
        </w:tc>
        <w:tc>
          <w:tcPr>
            <w:tcW w:w="5103" w:type="dxa"/>
            <w:textDirection w:val="lrTb"/>
            <w:noWrap w:val="false"/>
          </w:tcPr>
          <w:p>
            <w:pPr>
              <w:pStyle w:val="844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Решение о согласии на совершение или о последующем одобрении крупной сделки, если требование о наличии такого решения установлено законодательством Российской Федерации, учредительными документами юридического лица и для участника за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купки заключение контракта на поставку товара, выполнение работы или оказание услуги, являющихся объектом закупки, либо внесение денежных средств в качестве обеспечения заявки на участие в закупке, обеспечения исполнения контракта является крупной сделкой.</w:t>
            </w:r>
            <w:r/>
          </w:p>
        </w:tc>
        <w:tc>
          <w:tcPr>
            <w:tcW w:w="5244" w:type="dxa"/>
            <w:vAlign w:val="center"/>
            <w:textDirection w:val="lrTb"/>
            <w:noWrap w:val="false"/>
          </w:tcPr>
          <w:p>
            <w:pPr>
              <w:pStyle w:val="844"/>
              <w:rPr>
                <w:rFonts w:ascii="Times New Roman" w:hAnsi="Times New Roman" w:eastAsia="Courier New" w:cs="Times New Roman"/>
                <w:b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i/>
                <w:iCs/>
                <w:sz w:val="20"/>
                <w:szCs w:val="20"/>
              </w:rPr>
              <w:t xml:space="preserve">Установлено.</w:t>
            </w:r>
            <w:r>
              <w:rPr>
                <w:i/>
                <w:iCs/>
              </w:rPr>
            </w:r>
            <w:r/>
          </w:p>
        </w:tc>
      </w:tr>
      <w:tr>
        <w:trPr/>
        <w:tc>
          <w:tcPr>
            <w:tcW w:w="534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2.</w:t>
            </w:r>
            <w:r/>
          </w:p>
        </w:tc>
        <w:tc>
          <w:tcPr>
            <w:tcW w:w="5103" w:type="dxa"/>
            <w:textDirection w:val="lrTb"/>
            <w:noWrap w:val="false"/>
          </w:tcPr>
          <w:p>
            <w:pPr>
              <w:pStyle w:val="844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Декларация о соответствии участника закупки требованиям, установленным </w:t>
            </w:r>
            <w:hyperlink w:tooltip="#P777" w:anchor="P777" w:history="1">
              <w:r>
                <w:rPr>
                  <w:rFonts w:ascii="Times New Roman" w:hAnsi="Times New Roman" w:eastAsia="Courier New" w:cs="Times New Roman"/>
                  <w:sz w:val="20"/>
                  <w:szCs w:val="20"/>
                </w:rPr>
                <w:t xml:space="preserve">пунктами 3</w:t>
              </w:r>
            </w:hyperlink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 - </w:t>
            </w:r>
            <w:hyperlink w:tooltip="#P780" w:anchor="P780" w:history="1">
              <w:r>
                <w:rPr>
                  <w:rFonts w:ascii="Times New Roman" w:hAnsi="Times New Roman" w:eastAsia="Courier New" w:cs="Times New Roman"/>
                  <w:sz w:val="20"/>
                  <w:szCs w:val="20"/>
                </w:rPr>
                <w:t xml:space="preserve">5</w:t>
              </w:r>
            </w:hyperlink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, </w:t>
            </w:r>
            <w:hyperlink w:tooltip="#P782" w:anchor="P782" w:history="1">
              <w:r>
                <w:rPr>
                  <w:rFonts w:ascii="Times New Roman" w:hAnsi="Times New Roman" w:eastAsia="Courier New" w:cs="Times New Roman"/>
                  <w:sz w:val="20"/>
                  <w:szCs w:val="20"/>
                </w:rPr>
                <w:t xml:space="preserve">7</w:t>
              </w:r>
            </w:hyperlink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 - </w:t>
            </w:r>
            <w:hyperlink w:tooltip="#P791" w:anchor="P791" w:history="1">
              <w:r>
                <w:rPr>
                  <w:rFonts w:ascii="Times New Roman" w:hAnsi="Times New Roman" w:eastAsia="Courier New" w:cs="Times New Roman"/>
                  <w:sz w:val="20"/>
                  <w:szCs w:val="20"/>
                </w:rPr>
                <w:t xml:space="preserve">11 части 1 статьи 31</w:t>
              </w:r>
            </w:hyperlink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 Федерального закона № 44-ФЗ.</w:t>
            </w:r>
            <w:r/>
          </w:p>
        </w:tc>
        <w:tc>
          <w:tcPr>
            <w:tcW w:w="5244" w:type="dxa"/>
            <w:vAlign w:val="center"/>
            <w:textDirection w:val="lrTb"/>
            <w:noWrap w:val="false"/>
          </w:tcPr>
          <w:p>
            <w:pPr>
              <w:pStyle w:val="844"/>
              <w:rPr>
                <w:rFonts w:ascii="Times New Roman" w:hAnsi="Times New Roman" w:eastAsia="Courier New" w:cs="Times New Roman"/>
                <w:b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i/>
                <w:iCs/>
                <w:sz w:val="20"/>
                <w:szCs w:val="20"/>
              </w:rPr>
              <w:t xml:space="preserve">Установлено.</w:t>
            </w:r>
            <w:r>
              <w:rPr>
                <w:i/>
                <w:iCs/>
              </w:rPr>
            </w:r>
            <w:r/>
          </w:p>
        </w:tc>
      </w:tr>
      <w:tr>
        <w:trPr/>
        <w:tc>
          <w:tcPr>
            <w:tcW w:w="534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3.</w:t>
            </w:r>
            <w:r/>
          </w:p>
        </w:tc>
        <w:tc>
          <w:tcPr>
            <w:tcW w:w="5103" w:type="dxa"/>
            <w:textDirection w:val="lrTb"/>
            <w:noWrap w:val="false"/>
          </w:tcPr>
          <w:p>
            <w:pPr>
              <w:pStyle w:val="844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контракта.</w:t>
            </w:r>
            <w:r/>
          </w:p>
        </w:tc>
        <w:tc>
          <w:tcPr>
            <w:tcW w:w="5244" w:type="dxa"/>
            <w:vAlign w:val="center"/>
            <w:textDirection w:val="lrTb"/>
            <w:noWrap w:val="false"/>
          </w:tcPr>
          <w:p>
            <w:pPr>
              <w:pStyle w:val="844"/>
              <w:rPr>
                <w:rFonts w:ascii="Times New Roman" w:hAnsi="Times New Roman" w:eastAsia="Courier New" w:cs="Times New Roman"/>
                <w:b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i/>
                <w:iCs/>
                <w:sz w:val="20"/>
                <w:szCs w:val="20"/>
              </w:rPr>
              <w:t xml:space="preserve">Установлено.</w:t>
            </w:r>
            <w:r>
              <w:rPr>
                <w:i/>
                <w:iCs/>
              </w:rPr>
            </w:r>
            <w:r/>
          </w:p>
        </w:tc>
      </w:tr>
      <w:tr>
        <w:trPr/>
        <w:tc>
          <w:tcPr>
            <w:tcW w:w="534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4.</w:t>
            </w:r>
            <w:r/>
          </w:p>
        </w:tc>
        <w:tc>
          <w:tcPr>
            <w:tcW w:w="5103" w:type="dxa"/>
            <w:textDirection w:val="lrTb"/>
            <w:noWrap w:val="false"/>
          </w:tcPr>
          <w:p>
            <w:pPr>
              <w:jc w:val="both"/>
              <w:spacing w:line="220" w:lineRule="atLeast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Документы, подтверждающие соответствие участника закупки требованиям, установленным </w:t>
            </w:r>
            <w:hyperlink w:tooltip="#P775" w:anchor="P775" w:history="1">
              <w:r>
                <w:rPr>
                  <w:rFonts w:ascii="Times New Roman" w:hAnsi="Times New Roman" w:eastAsia="Courier New" w:cs="Times New Roman"/>
                  <w:sz w:val="20"/>
                  <w:szCs w:val="20"/>
                </w:rPr>
                <w:t xml:space="preserve">пунктом 1 части 1 статьи 31</w:t>
              </w:r>
            </w:hyperlink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 Федерального закона № 44-ФЗ (в случае установления требований о предоставлении соответствующих документов в извещении об осуществлении закупки).</w:t>
            </w:r>
            <w:r/>
          </w:p>
        </w:tc>
        <w:tc>
          <w:tcPr>
            <w:tcW w:w="5244" w:type="dxa"/>
            <w:textDirection w:val="lrTb"/>
            <w:noWrap w:val="false"/>
          </w:tcPr>
          <w:p>
            <w:pPr>
              <w:jc w:val="both"/>
            </w:pP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Установлено.</w:t>
            </w: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</w:r>
            <w:r/>
          </w:p>
          <w:p>
            <w:pPr>
              <w:jc w:val="both"/>
              <w:rPr>
                <w:rFonts w:ascii="Times New Roman" w:hAnsi="Times New Roman" w:eastAsia="Courier New" w:cs="Times New Roman"/>
                <w:b/>
                <w:bCs/>
                <w:highlight w:val="none"/>
              </w:rPr>
            </w:pPr>
            <w:r>
              <w:rPr>
                <w:rFonts w:ascii="Times New Roman" w:hAnsi="Times New Roman" w:eastAsia="Courier New" w:cs="Times New Roman"/>
                <w:i/>
                <w:sz w:val="20"/>
                <w:szCs w:val="20"/>
              </w:rPr>
              <w:t xml:space="preserve">Подтверждением, что участник закупки является членом саморегулируемой организации является наличие информации о нём в едином реестре о членах саморегулируемых организаций и их обязательствах.</w:t>
            </w:r>
            <w:r>
              <w:rPr>
                <w:rFonts w:ascii="Times New Roman" w:hAnsi="Times New Roman" w:eastAsia="Courier New" w:cs="Times New Roman"/>
                <w:bCs/>
                <w:i/>
                <w:sz w:val="20"/>
                <w:szCs w:val="20"/>
                <w:highlight w:val="none"/>
              </w:rPr>
            </w:r>
            <w:r/>
          </w:p>
          <w:p>
            <w:pPr>
              <w:jc w:val="both"/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i/>
                <w:sz w:val="20"/>
                <w:szCs w:val="20"/>
              </w:rPr>
            </w:r>
            <w:r/>
          </w:p>
        </w:tc>
      </w:tr>
      <w:tr>
        <w:trPr/>
        <w:tc>
          <w:tcPr>
            <w:tcW w:w="534" w:type="dxa"/>
            <w:vMerge w:val="restart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1.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5.</w:t>
            </w:r>
            <w:r/>
          </w:p>
          <w:p>
            <w:pPr>
              <w:pStyle w:val="844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</w:r>
            <w:r/>
          </w:p>
        </w:tc>
        <w:tc>
          <w:tcPr>
            <w:tcW w:w="510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Courier New" w:cs="Times New Roman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Документы, подтверждающие соответствие участника закупки дополнительным требованиям, установленным в соответствии с </w:t>
            </w:r>
            <w:hyperlink w:tooltip="#P795" w:anchor="P795" w:history="1">
              <w:r>
                <w:rPr>
                  <w:rFonts w:ascii="Times New Roman" w:hAnsi="Times New Roman" w:eastAsia="Courier New" w:cs="Times New Roman"/>
                  <w:sz w:val="20"/>
                  <w:szCs w:val="20"/>
                </w:rPr>
                <w:t xml:space="preserve">частью</w:t>
              </w:r>
              <w:r>
                <w:rPr>
                  <w:rFonts w:ascii="Times New Roman" w:hAnsi="Times New Roman" w:eastAsia="Courier New" w:cs="Times New Roman"/>
                  <w:sz w:val="20"/>
                  <w:szCs w:val="20"/>
                </w:rPr>
                <w:t xml:space="preserve"> 2</w:t>
              </w:r>
            </w:hyperlink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статьи 31 Федерального закона № 44-ФЗ, если иное не предусмотр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ено Федеральным законом № 44-ФЗ.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</w:r>
            <w:r/>
          </w:p>
        </w:tc>
        <w:tc>
          <w:tcPr>
            <w:tcW w:w="5244" w:type="dxa"/>
            <w:textDirection w:val="lrTb"/>
            <w:noWrap w:val="false"/>
          </w:tcPr>
          <w:p>
            <w:pPr>
              <w:pStyle w:val="844"/>
              <w:jc w:val="both"/>
              <w:rPr>
                <w:rFonts w:ascii="Times New Roman" w:hAnsi="Times New Roman" w:cs="Times New Roman"/>
                <w:bCs/>
                <w:i/>
                <w:sz w:val="20"/>
                <w:szCs w:val="20"/>
                <w:highlight w:val="none"/>
              </w:rPr>
            </w:pPr>
            <w:r>
              <w:rPr>
                <w:rFonts w:ascii="Times New Roman" w:hAnsi="Times New Roman" w:eastAsia="Courier New" w:cs="Times New Roman"/>
                <w:b/>
                <w:bCs/>
                <w:i/>
                <w:iCs/>
                <w:sz w:val="20"/>
                <w:szCs w:val="20"/>
              </w:rPr>
              <w:t xml:space="preserve">Установлено</w:t>
            </w:r>
            <w:r>
              <w:rPr>
                <w:rFonts w:ascii="Times New Roman" w:hAnsi="Times New Roman" w:cs="Times New Roman"/>
                <w:i/>
                <w:iCs/>
                <w:sz w:val="20"/>
                <w:szCs w:val="20"/>
              </w:rPr>
              <w:t xml:space="preserve">.</w:t>
            </w:r>
            <w:r>
              <w:rPr>
                <w:i/>
                <w:iCs/>
              </w:rPr>
            </w:r>
            <w:r/>
          </w:p>
          <w:p>
            <w:pPr>
              <w:pStyle w:val="844"/>
              <w:jc w:val="both"/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Исчерпывающий перечень документов установлен в Извещении об осуществлении закупки.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</w:r>
            <w:r/>
          </w:p>
          <w:p>
            <w:pPr>
              <w:pStyle w:val="844"/>
              <w:jc w:val="both"/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Не включаются участником закупки в заявку на участие в закупке. Такие документы направляются (по состоянию на дату и время их направления) оператором электронной площадки, из реестра участников закупок, аккредитованных на электронной площадке.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</w:r>
            <w:r/>
          </w:p>
          <w:p>
            <w:pPr>
              <w:pStyle w:val="844"/>
              <w:jc w:val="both"/>
              <w:rPr>
                <w:rFonts w:ascii="Times New Roman" w:hAnsi="Times New Roman" w:eastAsia="Courier New" w:cs="Times New Roman"/>
                <w:i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 случае наличия противоречий между информацией, содержащейся в Единой информационной системе, и информацией, содержащейся в д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окументах, направляемых участниками закупки и предусмотренных приложением в графе "Информация и документы, подтверждающие соответствие участников закупки дополнительным требованиям", приоритет имеет информация, содержащаяся в Единой информационной системе.</w:t>
            </w:r>
            <w:r>
              <w:rPr>
                <w:rFonts w:ascii="Times New Roman" w:hAnsi="Times New Roman" w:eastAsia="Courier New" w:cs="Times New Roman"/>
                <w:b/>
                <w:bCs/>
                <w:iCs/>
                <w:sz w:val="20"/>
                <w:szCs w:val="20"/>
              </w:rPr>
            </w:r>
            <w:r/>
            <w:r/>
            <w:r/>
            <w:r>
              <w:rPr>
                <w:rFonts w:ascii="Times New Roman" w:hAnsi="Times New Roman" w:eastAsia="Courier New" w:cs="Times New Roman"/>
                <w:i/>
              </w:rPr>
            </w:r>
          </w:p>
        </w:tc>
      </w:tr>
      <w:tr>
        <w:trPr/>
        <w:tc>
          <w:tcPr>
            <w:tcW w:w="534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W w:w="5103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Courier New" w:cs="Times New Roman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Документы, подтверждающие соответствие участника закупки дополнительным требованиям, установленным в соответствии с частью 2.1 статьи 31 Федерального закона № 44-ФЗ, если иное не предусмотр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ено Федеральным законом № 44-ФЗ.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</w:r>
            <w:r/>
          </w:p>
        </w:tc>
        <w:tc>
          <w:tcPr>
            <w:tcW w:w="5244" w:type="dxa"/>
            <w:vMerge w:val="restart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Не установлено.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r>
            <w:r/>
          </w:p>
          <w:p>
            <w:pPr>
              <w:jc w:val="both"/>
              <w:rPr>
                <w:rFonts w:ascii="Times New Roman" w:hAnsi="Times New Roman" w:eastAsia="Courier New" w:cs="Times New Roman"/>
                <w:b/>
                <w:bCs/>
                <w:i/>
                <w:iCs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bCs/>
                <w:i/>
                <w:iCs/>
                <w:sz w:val="20"/>
                <w:szCs w:val="20"/>
              </w:rPr>
            </w:r>
            <w:r>
              <w:rPr>
                <w:rFonts w:ascii="Times New Roman" w:hAnsi="Times New Roman" w:eastAsia="Courier New" w:cs="Times New Roman"/>
                <w:b/>
                <w:bCs/>
                <w:i/>
                <w:iCs/>
                <w:sz w:val="20"/>
                <w:szCs w:val="20"/>
              </w:rPr>
            </w:r>
            <w:r/>
          </w:p>
        </w:tc>
      </w:tr>
      <w:tr>
        <w:trPr>
          <w:trHeight w:val="340"/>
        </w:trPr>
        <w:tc>
          <w:tcPr>
            <w:gridSpan w:val="3"/>
            <w:shd w:val="clear" w:color="auto" w:fill="d9d9d9" w:themeFill="background1" w:themeFillShade="D9"/>
            <w:tcW w:w="10881" w:type="dxa"/>
            <w:vAlign w:val="center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2. Предложение участника закупки в отношении объекта закупки</w:t>
            </w:r>
            <w:r/>
          </w:p>
        </w:tc>
      </w:tr>
      <w:tr>
        <w:trPr/>
        <w:tc>
          <w:tcPr>
            <w:tcW w:w="534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2.1.</w:t>
            </w:r>
            <w:r/>
          </w:p>
        </w:tc>
        <w:tc>
          <w:tcPr>
            <w:tcW w:w="510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Характеристики предла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гаемого участником закупки товара (в том числе поставляемого заказчику при выполнении закупаемых работ, оказании закупаемых услуг), соответствующие показателям, установленным в описании объекта закупки, товарный знак (при наличии у товара товарного знака).</w:t>
            </w:r>
            <w:r/>
          </w:p>
          <w:p>
            <w:pPr>
              <w:pStyle w:val="844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Информация о товаре</w:t>
            </w:r>
            <w:r>
              <w:rPr>
                <w:rFonts w:ascii="Times New Roman" w:hAnsi="Times New Roman" w:eastAsia="Courier New" w:cs="Times New Roman"/>
                <w:b/>
                <w:i/>
                <w:sz w:val="20"/>
                <w:szCs w:val="20"/>
              </w:rPr>
              <w:t xml:space="preserve">, 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может не включаться в заявку на участи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е в закупке в случае указания заказчиком в описании объекта закупки товарного знака и предложения участником закупки товара, в том числе поставляемого заказчику при выполнении закупаемых работ, оказании закупаемых услуг, обозначенного таким товарным знаком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.</w:t>
            </w:r>
            <w:r/>
          </w:p>
        </w:tc>
        <w:tc>
          <w:tcPr>
            <w:tcW w:w="5244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Не установлено.</w:t>
            </w:r>
            <w:r/>
          </w:p>
        </w:tc>
      </w:tr>
      <w:tr>
        <w:trPr/>
        <w:tc>
          <w:tcPr>
            <w:tcW w:w="534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2.2.</w:t>
            </w:r>
            <w:r/>
          </w:p>
        </w:tc>
        <w:tc>
          <w:tcPr>
            <w:tcW w:w="5103" w:type="dxa"/>
            <w:textDirection w:val="lrTb"/>
            <w:noWrap w:val="false"/>
          </w:tcPr>
          <w:p>
            <w:pPr>
              <w:pStyle w:val="844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Наименование страны происхождения товара в соответствии с общероссийским классификатором, используемым для идентификации стран мира.</w:t>
            </w:r>
            <w:r/>
          </w:p>
        </w:tc>
        <w:tc>
          <w:tcPr>
            <w:tcW w:w="5244" w:type="dxa"/>
            <w:vAlign w:val="center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Не установлено.</w:t>
            </w:r>
            <w:r/>
          </w:p>
        </w:tc>
      </w:tr>
      <w:tr>
        <w:trPr/>
        <w:tc>
          <w:tcPr>
            <w:tcW w:w="534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2.3.</w:t>
            </w:r>
            <w:r/>
          </w:p>
        </w:tc>
        <w:tc>
          <w:tcPr>
            <w:tcW w:w="510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Документы, подтверждающие соответствие товара, работы или услуги требованиям, установленным в соответс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закупки.</w:t>
            </w:r>
            <w:r/>
          </w:p>
        </w:tc>
        <w:tc>
          <w:tcPr>
            <w:tcW w:w="524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Н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е установлено.</w:t>
            </w:r>
            <w:r/>
          </w:p>
        </w:tc>
      </w:tr>
      <w:tr>
        <w:trPr/>
        <w:tc>
          <w:tcPr>
            <w:tcW w:w="534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2.4.</w:t>
            </w:r>
            <w:r/>
          </w:p>
        </w:tc>
        <w:tc>
          <w:tcPr>
            <w:tcW w:w="5103" w:type="dxa"/>
            <w:textDirection w:val="lrTb"/>
            <w:noWrap w:val="false"/>
          </w:tcPr>
          <w:p>
            <w:pPr>
              <w:pStyle w:val="844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      </w:r>
            <w:r/>
          </w:p>
        </w:tc>
        <w:tc>
          <w:tcPr>
            <w:tcW w:w="5244" w:type="dxa"/>
            <w:textDirection w:val="lrTb"/>
            <w:noWrap w:val="false"/>
          </w:tcPr>
          <w:p>
            <w:pPr>
              <w:pStyle w:val="844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При формировании предложения в отношении объекта закупки Участник закупки вправе предоставить иные информацию и документы, в том числе эскиз, рисунок, чертеж, фотография, иное изображение предлагаемого участником закупки товара.</w:t>
            </w:r>
            <w:r/>
          </w:p>
        </w:tc>
      </w:tr>
      <w:tr>
        <w:trPr/>
        <w:tc>
          <w:tcPr>
            <w:gridSpan w:val="3"/>
            <w:shd w:val="clear" w:color="auto" w:fill="d9d9d9" w:themeFill="background1" w:themeFillShade="D9"/>
            <w:tcW w:w="10881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3. Информация и документы, предусмотренные нормативными правовыми актами, принятыми в соответствии с </w:t>
            </w:r>
            <w:hyperlink w:tooltip="#P293" w:anchor="P293" w:history="1">
              <w:r>
                <w:rPr>
                  <w:rFonts w:ascii="Times New Roman" w:hAnsi="Times New Roman" w:eastAsia="Courier New" w:cs="Times New Roman"/>
                  <w:b/>
                  <w:sz w:val="20"/>
                  <w:szCs w:val="20"/>
                </w:rPr>
                <w:t xml:space="preserve">частями 3</w:t>
              </w:r>
            </w:hyperlink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 и </w:t>
            </w:r>
            <w:hyperlink w:tooltip="#P295" w:anchor="P295" w:history="1">
              <w:r>
                <w:rPr>
                  <w:rFonts w:ascii="Times New Roman" w:hAnsi="Times New Roman" w:eastAsia="Courier New" w:cs="Times New Roman"/>
                  <w:b/>
                  <w:sz w:val="20"/>
                  <w:szCs w:val="20"/>
                </w:rPr>
                <w:t xml:space="preserve">4 статьи 14</w:t>
              </w:r>
            </w:hyperlink>
            <w:r>
              <w:rPr>
                <w:rFonts w:ascii="Times New Roman" w:hAnsi="Times New Roman" w:eastAsia="Courier New" w:cs="Times New Roman"/>
                <w:b/>
                <w:sz w:val="20"/>
                <w:szCs w:val="20"/>
              </w:rPr>
              <w:t xml:space="preserve"> Федерального закона № 44-ФЗ</w:t>
            </w:r>
            <w:r/>
          </w:p>
        </w:tc>
      </w:tr>
      <w:tr>
        <w:trPr/>
        <w:tc>
          <w:tcPr>
            <w:tcW w:w="534" w:type="dxa"/>
            <w:textDirection w:val="lrTb"/>
            <w:noWrap w:val="false"/>
          </w:tcPr>
          <w:p>
            <w:pPr>
              <w:pStyle w:val="844"/>
              <w:jc w:val="center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3.1.</w:t>
            </w:r>
            <w:r/>
          </w:p>
        </w:tc>
        <w:tc>
          <w:tcPr>
            <w:tcW w:w="5103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В случае отсутствия таких информации и документов в заявке на уча</w:t>
            </w:r>
            <w:r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стие в закупке такая заявка приравнивается к заявке, в которой содержится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      </w:r>
            <w:r/>
          </w:p>
        </w:tc>
        <w:tc>
          <w:tcPr>
            <w:tcW w:w="5244" w:type="dxa"/>
            <w:textDirection w:val="lrTb"/>
            <w:noWrap w:val="false"/>
          </w:tcPr>
          <w:p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Н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е установлено.</w:t>
            </w:r>
            <w:r/>
          </w:p>
        </w:tc>
      </w:tr>
      <w:tr>
        <w:trPr>
          <w:trHeight w:val="340"/>
        </w:trPr>
        <w:tc>
          <w:tcPr>
            <w:gridSpan w:val="3"/>
            <w:shd w:val="clear" w:color="auto" w:fill="d9d9d9" w:themeFill="background1" w:themeFillShade="D9"/>
            <w:tcW w:w="1088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4. Инструкция по заполнению заявки на участие в закупке</w:t>
            </w:r>
            <w:r/>
          </w:p>
        </w:tc>
      </w:tr>
      <w:tr>
        <w:trPr/>
        <w:tc>
          <w:tcPr>
            <w:tcW w:w="534" w:type="dxa"/>
            <w:textDirection w:val="lrTb"/>
            <w:noWrap w:val="false"/>
          </w:tcPr>
          <w:p>
            <w:pPr>
              <w:pStyle w:val="844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4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.1.</w:t>
            </w:r>
            <w:r/>
          </w:p>
        </w:tc>
        <w:tc>
          <w:tcPr>
            <w:gridSpan w:val="2"/>
            <w:tcW w:w="10347" w:type="dxa"/>
            <w:textDirection w:val="lrTb"/>
            <w:noWrap w:val="false"/>
          </w:tcPr>
          <w:p>
            <w:pPr>
              <w:pStyle w:val="844"/>
              <w:ind w:firstLine="171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1. Подать заявку на участие в закупке вправе только зарегистриров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анный в единой информационной системе и аккредитованный на электронной площадке, участник закупки путем направления такой заявки в соответствии с Федеральным законом № 44-ФЗ оператору электронной площадки, оператору специализированной электронной площадки.</w:t>
            </w:r>
            <w:r/>
          </w:p>
          <w:p>
            <w:pPr>
              <w:pStyle w:val="844"/>
              <w:ind w:firstLine="171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2. Участник закупки вправе подать только одну заявку на участие в закупке в любое время с момента размещения в единой информационной системе извещения об осуществлении закупки, до окончания срока подачи заявок на участие в закупке.</w:t>
            </w:r>
            <w:r/>
          </w:p>
          <w:p>
            <w:pPr>
              <w:pStyle w:val="844"/>
              <w:ind w:firstLine="171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3. Подача заявки на участие в закупке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 означает согласие участника закупки, подавшего такую заявку, на поставку товара, выполнение работы, оказание услуги на условиях, предусмотренных извещением об осуществлении закупки, и в соответствии с заявкой такого участника закупки на участие в закупке.</w:t>
            </w:r>
            <w:r/>
          </w:p>
          <w:p>
            <w:pPr>
              <w:pStyle w:val="844"/>
              <w:ind w:firstLine="171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4. Заявка на участие в закупке должна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 быть заполнена на русском языке. Отдельные документы (или их части), предоставленные участником закупки в составе заявки на участие в закупке, могут быть подготовлены на другом языке при условии, что к ним будет прилагаться точный перевод необходимых разд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елов на русский язык. Удостоверение верности перевода с иностранного языка на русский язык осуществляется в соответствии со статьей 81 Основ законодательства Российской Федерации о нотариате, утвержденных Верховным Советом РФ 11 февраля 1993 года № 4462-1.</w:t>
            </w:r>
            <w:r/>
          </w:p>
          <w:p>
            <w:pPr>
              <w:pStyle w:val="844"/>
              <w:ind w:firstLine="171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5. При оформлении заявки участникам закупки следует использовать общепринятые обозначения и наименования в соответствии с требованиями действующих нормативных актов. Сведения, которые содержатся в заявке, не должны допускать двусмысленных толкований. </w:t>
            </w:r>
            <w:r/>
          </w:p>
          <w:p>
            <w:pPr>
              <w:pStyle w:val="844"/>
              <w:ind w:firstLine="171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6. Все документы, входящие в состав заявки на участие в закупке, должны иметь четко читаемый текст.</w:t>
            </w:r>
            <w:r/>
          </w:p>
          <w:p>
            <w:pPr>
              <w:pStyle w:val="844"/>
              <w:ind w:firstLine="171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7. Характеристики предлагаемог</w:t>
            </w: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о участником закупки товара (в том числе поставляемого заказчику при выполнении закупаемых работ, оказании закупаемых услуг, должны соответствовать показателям, установленным в описании объекта закупки, товарный знак (при наличии у товара товарного знака).</w:t>
            </w:r>
            <w:r/>
          </w:p>
          <w:p>
            <w:pPr>
              <w:pStyle w:val="844"/>
              <w:ind w:firstLine="171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8. Участником закупки в заявке устанавливаются характеристики и показатели товара, подлежащие указанию в заявке, соответствующие значениям, установленным в описании объекта закупки. </w:t>
            </w:r>
            <w:r/>
          </w:p>
          <w:p>
            <w:pPr>
              <w:pStyle w:val="844"/>
              <w:ind w:firstLine="171"/>
              <w:jc w:val="both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9. При подаче сведений относительно предложенного товара участником закупки должны применяться обозначения (характеристики и показатели товара, подлежащие указанию в заявке) в соответствии с обозначениями, установленными в описании объекта закупки. </w:t>
            </w:r>
            <w:r/>
          </w:p>
          <w:p>
            <w:pPr>
              <w:pStyle w:val="844"/>
              <w:ind w:firstLine="171"/>
              <w:rPr>
                <w:rFonts w:ascii="Times New Roman" w:hAnsi="Times New Roman" w:eastAsia="Courier New" w:cs="Times New Roman"/>
                <w:sz w:val="20"/>
                <w:szCs w:val="20"/>
              </w:rPr>
            </w:pPr>
            <w:r>
              <w:rPr>
                <w:rFonts w:ascii="Times New Roman" w:hAnsi="Times New Roman" w:eastAsia="Courier New" w:cs="Times New Roman"/>
                <w:sz w:val="20"/>
                <w:szCs w:val="20"/>
              </w:rPr>
              <w:t xml:space="preserve">10. Ответственность за достоверность сведений, указанных в заявке, несет участник закупки</w:t>
            </w:r>
            <w:r/>
          </w:p>
        </w:tc>
      </w:tr>
    </w:tbl>
    <w:p>
      <w:pPr>
        <w:pStyle w:val="844"/>
        <w:jc w:val="center"/>
        <w:rPr>
          <w:rFonts w:ascii="Times New Roman" w:hAnsi="Times New Roman" w:eastAsia="Courier New" w:cs="Times New Roman"/>
          <w:sz w:val="20"/>
          <w:szCs w:val="20"/>
        </w:rPr>
      </w:pPr>
      <w:r>
        <w:rPr>
          <w:rFonts w:ascii="Times New Roman" w:hAnsi="Times New Roman" w:eastAsia="Courier New" w:cs="Times New Roman"/>
          <w:sz w:val="20"/>
          <w:szCs w:val="20"/>
        </w:rPr>
      </w:r>
      <w:r/>
    </w:p>
    <w:sectPr>
      <w:footerReference w:type="default" r:id="rId9"/>
      <w:footnotePr/>
      <w:endnotePr/>
      <w:type w:val="nextPage"/>
      <w:pgSz w:w="11900" w:h="16840" w:orient="portrait"/>
      <w:pgMar w:top="568" w:right="800" w:bottom="426" w:left="800" w:header="720" w:footer="400" w:gutter="0"/>
      <w:cols w:num="1" w:sep="0" w:space="720" w:equalWidth="1"/>
      <w:docGrid w:linePitch="36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Segoe UI">
    <w:panose1 w:val="020B0502040204020203"/>
  </w:font>
  <w:font w:name="Times New Roman">
    <w:panose1 w:val="020206030504050203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right"/>
      <w:rPr>
        <w:sz w:val="18"/>
        <w:szCs w:val="18"/>
      </w:rPr>
    </w:pP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PAGE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 xml:space="preserve">3</w:t>
    </w:r>
    <w:r>
      <w:rPr>
        <w:sz w:val="18"/>
        <w:szCs w:val="18"/>
      </w:rPr>
      <w:fldChar w:fldCharType="end"/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540" w:hanging="227"/>
        <w:tabs>
          <w:tab w:val="num" w:pos="540" w:leader="none"/>
        </w:tabs>
      </w:pPr>
      <w:rPr>
        <w:rFonts w:ascii="Symbol" w:hAnsi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ascii="Wingdings" w:hAnsi="Wingdings" w:eastAsia="Wingdings" w:cs="Wingdings"/>
      </w:rPr>
    </w:lvl>
  </w:abstractNum>
  <w:abstractNum w:abstractNumId="3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0"/>
      <w:numFmt w:val="decimal"/>
      <w:isLgl w:val="false"/>
      <w:suff w:val="tab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6">
    <w:multiLevelType w:val="hybridMultilevel"/>
    <w:lvl w:ilvl="0">
      <w:start w:val="9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93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65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37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09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81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53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25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971" w:hanging="180"/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60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49" w:hanging="360"/>
      </w:pPr>
      <w:rPr>
        <w:rFonts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69" w:hanging="360"/>
      </w:pPr>
      <w:rPr>
        <w:rFonts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09" w:hanging="360"/>
      </w:pPr>
      <w:rPr>
        <w:rFonts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29" w:hanging="360"/>
      </w:pPr>
      <w:rPr>
        <w:rFonts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69" w:hanging="360"/>
      </w:pPr>
      <w:rPr>
        <w:rFonts w:ascii="Wingdings" w:hAnsi="Wingdings" w:eastAsia="Wingdings" w:cs="Wingdings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5"/>
  </w:num>
  <w:num w:numId="5">
    <w:abstractNumId w:val="6"/>
  </w:num>
  <w:num w:numId="6">
    <w:abstractNumId w:val="0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seFELayout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EastAsia" w:cstheme="minorBidi"/>
        <w:sz w:val="22"/>
        <w:szCs w:val="22"/>
        <w:lang w:val="ru-RU" w:eastAsia="ru-RU" w:bidi="ar-SA"/>
      </w:rPr>
    </w:rPrDefault>
    <w:pPrDefault>
      <w:pPr>
        <w:spacing w:before="0" w:beforeAutospacing="0" w:after="160" w:afterAutospacing="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4">
    <w:name w:val="Heading 1"/>
    <w:basedOn w:val="836"/>
    <w:next w:val="836"/>
    <w:link w:val="665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5">
    <w:name w:val="Heading 1 Char"/>
    <w:basedOn w:val="838"/>
    <w:link w:val="664"/>
    <w:uiPriority w:val="9"/>
    <w:rPr>
      <w:rFonts w:ascii="Arial" w:hAnsi="Arial" w:eastAsia="Arial" w:cs="Arial"/>
      <w:sz w:val="40"/>
      <w:szCs w:val="40"/>
    </w:rPr>
  </w:style>
  <w:style w:type="paragraph" w:styleId="666">
    <w:name w:val="Heading 2"/>
    <w:basedOn w:val="836"/>
    <w:next w:val="836"/>
    <w:link w:val="667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7">
    <w:name w:val="Heading 2 Char"/>
    <w:basedOn w:val="838"/>
    <w:link w:val="666"/>
    <w:uiPriority w:val="9"/>
    <w:rPr>
      <w:rFonts w:ascii="Arial" w:hAnsi="Arial" w:eastAsia="Arial" w:cs="Arial"/>
      <w:sz w:val="34"/>
    </w:rPr>
  </w:style>
  <w:style w:type="paragraph" w:styleId="668">
    <w:name w:val="Heading 3"/>
    <w:basedOn w:val="836"/>
    <w:next w:val="836"/>
    <w:link w:val="669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9">
    <w:name w:val="Heading 3 Char"/>
    <w:basedOn w:val="838"/>
    <w:link w:val="668"/>
    <w:uiPriority w:val="9"/>
    <w:rPr>
      <w:rFonts w:ascii="Arial" w:hAnsi="Arial" w:eastAsia="Arial" w:cs="Arial"/>
      <w:sz w:val="30"/>
      <w:szCs w:val="30"/>
    </w:rPr>
  </w:style>
  <w:style w:type="paragraph" w:styleId="670">
    <w:name w:val="Heading 4"/>
    <w:basedOn w:val="836"/>
    <w:next w:val="836"/>
    <w:link w:val="671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1">
    <w:name w:val="Heading 4 Char"/>
    <w:basedOn w:val="838"/>
    <w:link w:val="670"/>
    <w:uiPriority w:val="9"/>
    <w:rPr>
      <w:rFonts w:ascii="Arial" w:hAnsi="Arial" w:eastAsia="Arial" w:cs="Arial"/>
      <w:b/>
      <w:bCs/>
      <w:sz w:val="26"/>
      <w:szCs w:val="26"/>
    </w:rPr>
  </w:style>
  <w:style w:type="character" w:styleId="672">
    <w:name w:val="Heading 5 Char"/>
    <w:basedOn w:val="838"/>
    <w:link w:val="837"/>
    <w:uiPriority w:val="9"/>
    <w:rPr>
      <w:rFonts w:ascii="Arial" w:hAnsi="Arial" w:eastAsia="Arial" w:cs="Arial"/>
      <w:b/>
      <w:bCs/>
      <w:sz w:val="24"/>
      <w:szCs w:val="24"/>
    </w:rPr>
  </w:style>
  <w:style w:type="paragraph" w:styleId="673">
    <w:name w:val="Heading 6"/>
    <w:basedOn w:val="836"/>
    <w:next w:val="836"/>
    <w:link w:val="674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4">
    <w:name w:val="Heading 6 Char"/>
    <w:basedOn w:val="838"/>
    <w:link w:val="673"/>
    <w:uiPriority w:val="9"/>
    <w:rPr>
      <w:rFonts w:ascii="Arial" w:hAnsi="Arial" w:eastAsia="Arial" w:cs="Arial"/>
      <w:b/>
      <w:bCs/>
      <w:sz w:val="22"/>
      <w:szCs w:val="22"/>
    </w:rPr>
  </w:style>
  <w:style w:type="paragraph" w:styleId="675">
    <w:name w:val="Heading 7"/>
    <w:basedOn w:val="836"/>
    <w:next w:val="836"/>
    <w:link w:val="676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6">
    <w:name w:val="Heading 7 Char"/>
    <w:basedOn w:val="83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7">
    <w:name w:val="Heading 8"/>
    <w:basedOn w:val="836"/>
    <w:next w:val="836"/>
    <w:link w:val="678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8">
    <w:name w:val="Heading 8 Char"/>
    <w:basedOn w:val="838"/>
    <w:link w:val="677"/>
    <w:uiPriority w:val="9"/>
    <w:rPr>
      <w:rFonts w:ascii="Arial" w:hAnsi="Arial" w:eastAsia="Arial" w:cs="Arial"/>
      <w:i/>
      <w:iCs/>
      <w:sz w:val="22"/>
      <w:szCs w:val="22"/>
    </w:rPr>
  </w:style>
  <w:style w:type="paragraph" w:styleId="679">
    <w:name w:val="Heading 9"/>
    <w:basedOn w:val="836"/>
    <w:next w:val="836"/>
    <w:link w:val="680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0">
    <w:name w:val="Heading 9 Char"/>
    <w:basedOn w:val="838"/>
    <w:link w:val="679"/>
    <w:uiPriority w:val="9"/>
    <w:rPr>
      <w:rFonts w:ascii="Arial" w:hAnsi="Arial" w:eastAsia="Arial" w:cs="Arial"/>
      <w:i/>
      <w:iCs/>
      <w:sz w:val="21"/>
      <w:szCs w:val="21"/>
    </w:rPr>
  </w:style>
  <w:style w:type="paragraph" w:styleId="681">
    <w:name w:val="Title"/>
    <w:basedOn w:val="836"/>
    <w:next w:val="836"/>
    <w:link w:val="68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2">
    <w:name w:val="Title Char"/>
    <w:basedOn w:val="838"/>
    <w:link w:val="681"/>
    <w:uiPriority w:val="10"/>
    <w:rPr>
      <w:sz w:val="48"/>
      <w:szCs w:val="48"/>
    </w:rPr>
  </w:style>
  <w:style w:type="paragraph" w:styleId="683">
    <w:name w:val="Subtitle"/>
    <w:basedOn w:val="836"/>
    <w:next w:val="836"/>
    <w:link w:val="684"/>
    <w:uiPriority w:val="11"/>
    <w:qFormat/>
    <w:pPr>
      <w:spacing w:before="200" w:after="200"/>
    </w:pPr>
    <w:rPr>
      <w:sz w:val="24"/>
      <w:szCs w:val="24"/>
    </w:rPr>
  </w:style>
  <w:style w:type="character" w:styleId="684">
    <w:name w:val="Subtitle Char"/>
    <w:basedOn w:val="838"/>
    <w:link w:val="683"/>
    <w:uiPriority w:val="11"/>
    <w:rPr>
      <w:sz w:val="24"/>
      <w:szCs w:val="24"/>
    </w:rPr>
  </w:style>
  <w:style w:type="paragraph" w:styleId="685">
    <w:name w:val="Quote"/>
    <w:basedOn w:val="836"/>
    <w:next w:val="836"/>
    <w:link w:val="686"/>
    <w:uiPriority w:val="29"/>
    <w:qFormat/>
    <w:pPr>
      <w:ind w:left="720" w:right="720"/>
    </w:pPr>
    <w:rPr>
      <w:i/>
    </w:rPr>
  </w:style>
  <w:style w:type="character" w:styleId="686">
    <w:name w:val="Quote Char"/>
    <w:link w:val="685"/>
    <w:uiPriority w:val="29"/>
    <w:rPr>
      <w:i/>
    </w:rPr>
  </w:style>
  <w:style w:type="paragraph" w:styleId="687">
    <w:name w:val="Intense Quote"/>
    <w:basedOn w:val="836"/>
    <w:next w:val="836"/>
    <w:link w:val="68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8">
    <w:name w:val="Intense Quote Char"/>
    <w:link w:val="687"/>
    <w:uiPriority w:val="30"/>
    <w:rPr>
      <w:i/>
    </w:rPr>
  </w:style>
  <w:style w:type="character" w:styleId="689">
    <w:name w:val="Header Char"/>
    <w:basedOn w:val="838"/>
    <w:link w:val="848"/>
    <w:uiPriority w:val="99"/>
  </w:style>
  <w:style w:type="character" w:styleId="690">
    <w:name w:val="Footer Char"/>
    <w:basedOn w:val="838"/>
    <w:link w:val="850"/>
    <w:uiPriority w:val="99"/>
  </w:style>
  <w:style w:type="paragraph" w:styleId="691">
    <w:name w:val="Caption"/>
    <w:basedOn w:val="836"/>
    <w:next w:val="836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2">
    <w:name w:val="Caption Char"/>
    <w:basedOn w:val="691"/>
    <w:link w:val="850"/>
    <w:uiPriority w:val="99"/>
  </w:style>
  <w:style w:type="table" w:styleId="693">
    <w:name w:val="Table Grid Light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4">
    <w:name w:val="Plain Table 1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5">
    <w:name w:val="Plain Table 2"/>
    <w:basedOn w:val="83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6">
    <w:name w:val="Plain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7">
    <w:name w:val="Plain Table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Plain Table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9">
    <w:name w:val="Grid Table 1 Light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deb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4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1">
    <w:name w:val="Grid Table 4 - Accent 1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f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67a4d8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2">
    <w:name w:val="Grid Table 4 - Accent 2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3">
    <w:name w:val="Grid Table 4 - Accent 3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4">
    <w:name w:val="Grid Table 4 - Accent 4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5">
    <w:name w:val="Grid Table 4 - Accent 5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6">
    <w:name w:val="Grid Table 4 - Accent 6"/>
    <w:basedOn w:val="83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7">
    <w:name w:val="Grid Table 5 Dark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8">
    <w:name w:val="Grid Table 5 Dark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debf6" w:themeFill="accent1" w:themeFillTint="34"/>
    </w:tblPr>
    <w:tblStylePr w:type="band1Horz">
      <w:tcPr>
        <w:shd w:val="clear" w:color="ffffff" w:themeColor="accent1" w:themeTint="75" w:fill="b4d2eb" w:themeFill="accent1" w:themeFillTint="75"/>
      </w:tcPr>
    </w:tblStylePr>
    <w:tblStylePr w:type="band1Vert">
      <w:tcPr>
        <w:shd w:val="clear" w:color="ffffff" w:themeColor="accent1" w:themeTint="75" w:fill="b4d2eb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9">
    <w:name w:val="Grid Table 5 Dark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5d6" w:themeFill="accent2" w:themeFillTint="32"/>
    </w:tblPr>
    <w:tblStylePr w:type="band1Horz">
      <w:tcPr>
        <w:shd w:val="clear" w:color="ffffff" w:themeColor="accent2" w:themeTint="75" w:fill="f6c3a1" w:themeFill="accent2" w:themeFillTint="75"/>
      </w:tcPr>
    </w:tblStylePr>
    <w:tblStylePr w:type="band1Vert">
      <w:tcPr>
        <w:shd w:val="clear" w:color="ffffff" w:themeColor="accent2" w:themeTint="75" w:fill="f6c3a1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blStylePr w:type="band1Horz">
      <w:tcPr>
        <w:shd w:val="clear" w:color="ffffff" w:themeColor="accent3" w:themeTint="75" w:fill="d6d6d6" w:themeFill="accent3" w:themeFillTint="75"/>
      </w:tcPr>
    </w:tblStylePr>
    <w:tblStylePr w:type="band1Vert">
      <w:tcPr>
        <w:shd w:val="clear" w:color="ffffff" w:themeColor="accent3" w:themeTint="75" w:fill="d6d6d6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31">
    <w:name w:val="Grid Table 5 Dark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fef2cb" w:themeFill="accent4" w:themeFillTint="34"/>
    </w:tblPr>
    <w:tblStylePr w:type="band1Horz">
      <w:tcPr>
        <w:shd w:val="clear" w:color="ffffff" w:themeColor="accent4" w:themeTint="75" w:fill="fee189" w:themeFill="accent4" w:themeFillTint="75"/>
      </w:tcPr>
    </w:tblStylePr>
    <w:tblStylePr w:type="band1Vert">
      <w:tcPr>
        <w:shd w:val="clear" w:color="ffffff" w:themeColor="accent4" w:themeTint="75" w:fill="fee189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2">
    <w:name w:val="Grid Table 5 Dark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9e2f2" w:themeFill="accent5" w:themeFillTint="34"/>
    </w:tblPr>
    <w:tblStylePr w:type="band1Horz">
      <w:tcPr>
        <w:shd w:val="clear" w:color="ffffff" w:themeColor="accent5" w:themeTint="75" w:fill="aabfe3" w:themeFill="accent5" w:themeFillTint="75"/>
      </w:tcPr>
    </w:tblStylePr>
    <w:tblStylePr w:type="band1Vert">
      <w:tcPr>
        <w:shd w:val="clear" w:color="ffffff" w:themeColor="accent5" w:themeTint="75" w:fill="aabfe3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8" w:themeFill="accent6" w:themeFillTint="34"/>
    </w:tblPr>
    <w:tblStylePr w:type="band1Horz">
      <w:tcPr>
        <w:shd w:val="clear" w:color="ffffff" w:themeColor="accent6" w:themeTint="75" w:fill="bedba8" w:themeFill="accent6" w:themeFillTint="75"/>
      </w:tcPr>
    </w:tblStylePr>
    <w:tblStylePr w:type="band1Vert">
      <w:tcPr>
        <w:shd w:val="clear" w:color="ffffff" w:themeColor="accent6" w:themeTint="75" w:fill="bedb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4">
    <w:name w:val="Grid Table 6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5">
    <w:name w:val="Grid Table 6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17bba" w:themeColor="accent1" w:themeTint="80" w:themeShade="95"/>
      </w:rPr>
    </w:tblStylePr>
    <w:tblStylePr w:type="firstRow">
      <w:rPr>
        <w:b/>
        <w:color w:val="317bba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17bba" w:themeColor="accent1" w:themeTint="80" w:themeShade="95"/>
      </w:rPr>
    </w:tblStylePr>
    <w:tblStylePr w:type="lastRow">
      <w:rPr>
        <w:b/>
        <w:color w:val="317bba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36">
    <w:name w:val="Grid Table 6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37">
    <w:name w:val="Grid Table 6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606060" w:themeColor="accent3" w:themeTint="FE" w:themeShade="95"/>
      </w:rPr>
    </w:tblStylePr>
    <w:tblStylePr w:type="firstRow">
      <w:rPr>
        <w:b/>
        <w:color w:val="606060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</w:tblStylePr>
    <w:tblStylePr w:type="lastRow">
      <w:rPr>
        <w:b/>
        <w:color w:val="606060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38">
    <w:name w:val="Grid Table 6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39">
    <w:name w:val="Grid Table 6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0">
    <w:name w:val="Grid Table 6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54374" w:themeColor="accent5" w:themeShade="95"/>
      </w:rPr>
    </w:tblStylePr>
    <w:tblStylePr w:type="firstRow">
      <w:rPr>
        <w:b/>
        <w:color w:val="254374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95"/>
      </w:rPr>
    </w:tblStylePr>
    <w:tblStylePr w:type="lastRow">
      <w:rPr>
        <w:b/>
        <w:color w:val="254374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1">
    <w:name w:val="Grid Table 7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17bba" w:themeColor="accent1" w:themeTint="80" w:themeShade="95"/>
        <w:sz w:val="22"/>
      </w:rPr>
      <w:tcPr>
        <w:shd w:val="clear" w:color="ffffff" w:themeColor="accent1" w:themeTint="34" w:fill="ddebf6" w:themeFill="accent1" w:themeFillTint="34"/>
      </w:tcPr>
    </w:tblStylePr>
    <w:tblStylePr w:type="band1Vert">
      <w:tcPr>
        <w:shd w:val="clear" w:color="ffffff" w:themeColor="accent1" w:themeTint="34" w:fill="ddebf6" w:themeFill="accent1" w:themeFillTint="34"/>
      </w:tcPr>
    </w:tblStylePr>
    <w:tblStylePr w:type="band2Horz">
      <w:rPr>
        <w:rFonts w:ascii="Arial" w:hAnsi="Arial"/>
        <w:color w:val="317bba" w:themeColor="accent1" w:themeTint="80" w:themeShade="95"/>
        <w:sz w:val="22"/>
      </w:rPr>
    </w:tblStylePr>
    <w:tblStylePr w:type="firstCol">
      <w:rPr>
        <w:rFonts w:ascii="Arial" w:hAnsi="Arial"/>
        <w:i/>
        <w:color w:val="317bba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32" w:fill="fbe5d6" w:themeFill="accent2" w:themeFillTint="32"/>
      </w:tcPr>
    </w:tblStylePr>
    <w:tblStylePr w:type="band1Vert">
      <w:tcPr>
        <w:shd w:val="clear" w:color="ffffff" w:themeColor="accent2" w:themeTint="32" w:fill="fbe5d6" w:themeFill="accent2" w:themeFillTint="32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606060" w:themeColor="accent3" w:themeTint="FE" w:themeShade="95"/>
        <w:sz w:val="22"/>
      </w:rPr>
      <w:tcPr>
        <w:shd w:val="clear" w:color="ffffff" w:themeColor="accent3" w:themeTint="34" w:fill="ededed" w:themeFill="accent3" w:themeFillTint="34"/>
      </w:tcPr>
    </w:tblStylePr>
    <w:tblStylePr w:type="band1Vert">
      <w:tcPr>
        <w:shd w:val="clear" w:color="ffffff" w:themeColor="accent3" w:themeTint="34" w:fill="ededed" w:themeFill="accent3" w:themeFillTint="34"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34" w:fill="fef2cb" w:themeFill="accent4" w:themeFillTint="34"/>
      </w:tcPr>
    </w:tblStylePr>
    <w:tblStylePr w:type="band1Vert">
      <w:tcPr>
        <w:shd w:val="clear" w:color="ffffff" w:themeColor="accent4" w:themeTint="34" w:fill="fef2cb" w:themeFill="accent4" w:themeFillTint="34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54374" w:themeColor="accent5" w:themeShade="95"/>
        <w:sz w:val="22"/>
      </w:rPr>
      <w:tcPr>
        <w:shd w:val="clear" w:color="ffffff" w:themeColor="accent5" w:themeTint="34" w:fill="d9e2f2" w:themeFill="accent5" w:themeFillTint="34"/>
      </w:tcPr>
    </w:tblStylePr>
    <w:tblStylePr w:type="band1Vert">
      <w:tcPr>
        <w:shd w:val="clear" w:color="ffffff" w:themeColor="accent5" w:themeTint="34" w:fill="d9e2f2" w:themeFill="accent5" w:themeFillTint="34"/>
      </w:tcPr>
    </w:tblStylePr>
    <w:tblStylePr w:type="band2Horz">
      <w:rPr>
        <w:rFonts w:ascii="Arial" w:hAnsi="Arial"/>
        <w:color w:val="254374" w:themeColor="accent5" w:themeShade="95"/>
        <w:sz w:val="22"/>
      </w:rPr>
    </w:tblStylePr>
    <w:tblStylePr w:type="firstCol">
      <w:rPr>
        <w:rFonts w:ascii="Arial" w:hAnsi="Arial"/>
        <w:i/>
        <w:color w:val="254374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26429" w:themeColor="accent6" w:themeShade="95"/>
        <w:sz w:val="22"/>
      </w:rPr>
      <w:tcPr>
        <w:shd w:val="clear" w:color="ffffff" w:themeColor="accent6" w:themeTint="34" w:fill="e2efd8" w:themeFill="accent6" w:themeFillTint="34"/>
      </w:tcPr>
    </w:tblStylePr>
    <w:tblStylePr w:type="band1Vert">
      <w:tcPr>
        <w:shd w:val="clear" w:color="ffffff" w:themeColor="accent6" w:themeTint="34" w:fill="e2efd8" w:themeFill="accent6" w:themeFillTint="34"/>
      </w:tcPr>
    </w:tblStylePr>
    <w:tblStylePr w:type="band2Horz">
      <w:rPr>
        <w:rFonts w:ascii="Arial" w:hAnsi="Arial"/>
        <w:color w:val="426429" w:themeColor="accent6" w:themeShade="95"/>
        <w:sz w:val="22"/>
      </w:rPr>
    </w:tblStylePr>
    <w:tblStylePr w:type="firstCol">
      <w:rPr>
        <w:rFonts w:ascii="Arial" w:hAnsi="Arial"/>
        <w:i/>
        <w:color w:val="426429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56">
    <w:name w:val="List Table 2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57">
    <w:name w:val="List Table 2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58">
    <w:name w:val="List Table 2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59">
    <w:name w:val="List Table 2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0">
    <w:name w:val="List Table 2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1">
    <w:name w:val="List Table 2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2">
    <w:name w:val="List Table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8eab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aad08f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5e6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cfdc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dbeb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5 Dark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185" w:themeFill="accent2" w:themeFillTint="97"/>
    </w:tblPr>
    <w:tblStylePr w:type="band1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f4b1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f4b1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f4b1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blStylePr w:type="band1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864" w:themeFill="accent4" w:themeFillTint="9A"/>
    </w:tblPr>
    <w:tblStylePr w:type="band1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ffd864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ffd864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ffd864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8eabdb" w:themeFill="accent5" w:themeFillTint="9A"/>
    </w:tblPr>
    <w:tblStylePr w:type="band1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8eabdb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8eabdb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8eabdb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ad08f" w:themeFill="accent6" w:themeFillTint="98"/>
    </w:tblPr>
    <w:tblStylePr w:type="band1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aad0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aad0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aad0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6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4">
    <w:name w:val="List Table 6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45d8d" w:themeColor="accent1" w:themeShade="95"/>
      </w:rPr>
    </w:tblStylePr>
    <w:tblStylePr w:type="firstRow">
      <w:rPr>
        <w:b/>
        <w:color w:val="245d8d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95"/>
      </w:rPr>
    </w:tblStylePr>
    <w:tblStylePr w:type="lastRow">
      <w:rPr>
        <w:b/>
        <w:color w:val="245d8d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5">
    <w:name w:val="List Table 6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c95712" w:themeColor="accent2" w:themeTint="97" w:themeShade="95"/>
      </w:rPr>
    </w:tblStylePr>
    <w:tblStylePr w:type="firstRow">
      <w:rPr>
        <w:b/>
        <w:color w:val="c95712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95712" w:themeColor="accent2" w:themeTint="97" w:themeShade="95"/>
      </w:rPr>
    </w:tblStylePr>
    <w:tblStylePr w:type="lastRow">
      <w:rPr>
        <w:b/>
        <w:color w:val="c95712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86">
    <w:name w:val="List Table 6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57575" w:themeColor="accent3" w:themeTint="98" w:themeShade="95"/>
      </w:rPr>
    </w:tblStylePr>
    <w:tblStylePr w:type="firstRow">
      <w:rPr>
        <w:b/>
        <w:color w:val="757575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</w:tblStylePr>
    <w:tblStylePr w:type="lastRow">
      <w:rPr>
        <w:b/>
        <w:color w:val="757575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87">
    <w:name w:val="List Table 6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cd9600" w:themeColor="accent4" w:themeTint="9A" w:themeShade="95"/>
      </w:rPr>
    </w:tblStylePr>
    <w:tblStylePr w:type="firstRow">
      <w:rPr>
        <w:b/>
        <w:color w:val="cd9600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cd9600" w:themeColor="accent4" w:themeTint="9A" w:themeShade="95"/>
      </w:rPr>
    </w:tblStylePr>
    <w:tblStylePr w:type="lastRow">
      <w:rPr>
        <w:b/>
        <w:color w:val="cd9600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88">
    <w:name w:val="List Table 6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5e9e" w:themeColor="accent5" w:themeTint="9A" w:themeShade="95"/>
      </w:rPr>
    </w:tblStylePr>
    <w:tblStylePr w:type="firstRow">
      <w:rPr>
        <w:b/>
        <w:color w:val="335e9e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5e9e" w:themeColor="accent5" w:themeTint="9A" w:themeShade="95"/>
      </w:rPr>
    </w:tblStylePr>
    <w:tblStylePr w:type="lastRow">
      <w:rPr>
        <w:b/>
        <w:color w:val="335e9e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89">
    <w:name w:val="List Table 6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5f8f3c" w:themeColor="accent6" w:themeTint="98" w:themeShade="95"/>
      </w:rPr>
    </w:tblStylePr>
    <w:tblStylePr w:type="firstRow">
      <w:rPr>
        <w:b/>
        <w:color w:val="5f8f3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f8f3c" w:themeColor="accent6" w:themeTint="98" w:themeShade="95"/>
      </w:rPr>
    </w:tblStylePr>
    <w:tblStylePr w:type="lastRow">
      <w:rPr>
        <w:b/>
        <w:color w:val="5f8f3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0">
    <w:name w:val="List Table 7 Colorful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1">
    <w:name w:val="List Table 7 Colorful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95"/>
        <w:sz w:val="22"/>
      </w:rPr>
      <w:tcPr>
        <w:shd w:val="clear" w:color="ffffff" w:themeColor="accent1" w:themeTint="40" w:fill="d5e6f4" w:themeFill="accent1" w:themeFillTint="40"/>
      </w:tcPr>
    </w:tblStylePr>
    <w:tblStylePr w:type="band1Vert">
      <w:tcPr>
        <w:shd w:val="clear" w:color="ffffff" w:themeColor="accent1" w:themeTint="40" w:fill="d5e6f4" w:themeFill="accent1" w:themeFillTint="40"/>
      </w:tcPr>
    </w:tblStylePr>
    <w:tblStylePr w:type="band2Horz">
      <w:rPr>
        <w:rFonts w:ascii="Arial" w:hAnsi="Arial"/>
        <w:color w:val="245d8d" w:themeColor="accent1" w:themeShade="95"/>
        <w:sz w:val="22"/>
      </w:rPr>
    </w:tblStylePr>
    <w:tblStylePr w:type="firstCol">
      <w:rPr>
        <w:rFonts w:ascii="Arial" w:hAnsi="Arial"/>
        <w:i/>
        <w:color w:val="245d8d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95"/>
        <w:sz w:val="22"/>
      </w:rPr>
    </w:tblStylePr>
  </w:style>
  <w:style w:type="table" w:styleId="792">
    <w:name w:val="List Table 7 Colorful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c95712" w:themeColor="accent2" w:themeTint="97" w:themeShade="95"/>
        <w:sz w:val="22"/>
      </w:rPr>
      <w:tcPr>
        <w:shd w:val="clear" w:color="ffffff" w:themeColor="accent2" w:themeTint="40" w:fill="fadecb" w:themeFill="accent2" w:themeFillTint="40"/>
      </w:tcPr>
    </w:tblStylePr>
    <w:tblStylePr w:type="band1Vert">
      <w:tcPr>
        <w:shd w:val="clear" w:color="ffffff" w:themeColor="accent2" w:themeTint="40" w:fill="fadecb" w:themeFill="accent2" w:themeFillTint="40"/>
      </w:tcPr>
    </w:tblStylePr>
    <w:tblStylePr w:type="band2Horz">
      <w:rPr>
        <w:rFonts w:ascii="Arial" w:hAnsi="Arial"/>
        <w:color w:val="c95712" w:themeColor="accent2" w:themeTint="97" w:themeShade="95"/>
        <w:sz w:val="22"/>
      </w:rPr>
    </w:tblStylePr>
    <w:tblStylePr w:type="firstCol">
      <w:rPr>
        <w:rFonts w:ascii="Arial" w:hAnsi="Arial"/>
        <w:i/>
        <w:color w:val="c95712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97" w:themeShade="95"/>
        <w:sz w:val="22"/>
      </w:rPr>
    </w:tblStylePr>
  </w:style>
  <w:style w:type="table" w:styleId="793">
    <w:name w:val="List Table 7 Colorful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57575" w:themeColor="accent3" w:themeTint="98" w:themeShade="95"/>
        <w:sz w:val="22"/>
      </w:rPr>
      <w:tcPr>
        <w:shd w:val="clear" w:color="ffffff" w:themeColor="accent3" w:themeTint="40" w:fill="e8e8e8" w:themeFill="accent3" w:themeFillTint="40"/>
      </w:tcPr>
    </w:tblStylePr>
    <w:tblStylePr w:type="band1Vert">
      <w:tcPr>
        <w:shd w:val="clear" w:color="ffffff" w:themeColor="accent3" w:themeTint="40" w:fill="e8e8e8" w:themeFill="accent3" w:themeFillTint="40"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</w:tblStylePr>
  </w:style>
  <w:style w:type="table" w:styleId="794">
    <w:name w:val="List Table 7 Colorful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cd9600" w:themeColor="accent4" w:themeTint="9A" w:themeShade="95"/>
        <w:sz w:val="22"/>
      </w:rPr>
      <w:tcPr>
        <w:shd w:val="clear" w:color="ffffff" w:themeColor="accent4" w:themeTint="40" w:fill="ffefbf" w:themeFill="accent4" w:themeFillTint="40"/>
      </w:tcPr>
    </w:tblStylePr>
    <w:tblStylePr w:type="band1Vert">
      <w:tcPr>
        <w:shd w:val="clear" w:color="ffffff" w:themeColor="accent4" w:themeTint="40" w:fill="ffefbf" w:themeFill="accent4" w:themeFillTint="40"/>
      </w:tcPr>
    </w:tblStylePr>
    <w:tblStylePr w:type="band2Horz">
      <w:rPr>
        <w:rFonts w:ascii="Arial" w:hAnsi="Arial"/>
        <w:color w:val="cd9600" w:themeColor="accent4" w:themeTint="9A" w:themeShade="95"/>
        <w:sz w:val="22"/>
      </w:rPr>
    </w:tblStylePr>
    <w:tblStylePr w:type="firstCol">
      <w:rPr>
        <w:rFonts w:ascii="Arial" w:hAnsi="Arial"/>
        <w:i/>
        <w:color w:val="cd9600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9A" w:themeShade="95"/>
        <w:sz w:val="22"/>
      </w:rPr>
    </w:tblStylePr>
  </w:style>
  <w:style w:type="table" w:styleId="795">
    <w:name w:val="List Table 7 Colorful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5e9e" w:themeColor="accent5" w:themeTint="9A" w:themeShade="95"/>
        <w:sz w:val="22"/>
      </w:rPr>
      <w:tcPr>
        <w:shd w:val="clear" w:color="ffffff" w:themeColor="accent5" w:themeTint="40" w:fill="cfdcf0" w:themeFill="accent5" w:themeFillTint="40"/>
      </w:tcPr>
    </w:tblStylePr>
    <w:tblStylePr w:type="band1Vert">
      <w:tcPr>
        <w:shd w:val="clear" w:color="ffffff" w:themeColor="accent5" w:themeTint="40" w:fill="cfdcf0" w:themeFill="accent5" w:themeFillTint="40"/>
      </w:tcPr>
    </w:tblStylePr>
    <w:tblStylePr w:type="band2Horz">
      <w:rPr>
        <w:rFonts w:ascii="Arial" w:hAnsi="Arial"/>
        <w:color w:val="335e9e" w:themeColor="accent5" w:themeTint="9A" w:themeShade="95"/>
        <w:sz w:val="22"/>
      </w:rPr>
    </w:tblStylePr>
    <w:tblStylePr w:type="firstCol">
      <w:rPr>
        <w:rFonts w:ascii="Arial" w:hAnsi="Arial"/>
        <w:i/>
        <w:color w:val="335e9e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9A" w:themeShade="95"/>
        <w:sz w:val="22"/>
      </w:rPr>
    </w:tblStylePr>
  </w:style>
  <w:style w:type="table" w:styleId="796">
    <w:name w:val="List Table 7 Colorful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5f8f3c" w:themeColor="accent6" w:themeTint="98" w:themeShade="95"/>
        <w:sz w:val="22"/>
      </w:rPr>
      <w:tcPr>
        <w:shd w:val="clear" w:color="ffffff" w:themeColor="accent6" w:themeTint="40" w:fill="dbebd0" w:themeFill="accent6" w:themeFillTint="40"/>
      </w:tcPr>
    </w:tblStylePr>
    <w:tblStylePr w:type="band1Vert">
      <w:tcPr>
        <w:shd w:val="clear" w:color="ffffff" w:themeColor="accent6" w:themeTint="40" w:fill="dbebd0" w:themeFill="accent6" w:themeFillTint="40"/>
      </w:tcPr>
    </w:tblStylePr>
    <w:tblStylePr w:type="band2Horz">
      <w:rPr>
        <w:rFonts w:ascii="Arial" w:hAnsi="Arial"/>
        <w:color w:val="5f8f3c" w:themeColor="accent6" w:themeTint="98" w:themeShade="95"/>
        <w:sz w:val="22"/>
      </w:rPr>
    </w:tblStylePr>
    <w:tblStylePr w:type="firstCol">
      <w:rPr>
        <w:rFonts w:ascii="Arial" w:hAnsi="Arial"/>
        <w:i/>
        <w:color w:val="5f8f3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98" w:themeShade="95"/>
        <w:sz w:val="22"/>
      </w:rPr>
    </w:tblStylePr>
  </w:style>
  <w:style w:type="table" w:styleId="797">
    <w:name w:val="Lined - Accent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98">
    <w:name w:val="Lined - Accent 1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799">
    <w:name w:val="Lined - Accent 2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0">
    <w:name w:val="Lined - Accent 3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1">
    <w:name w:val="Lined - Accent 4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2">
    <w:name w:val="Lined - Accent 5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3">
    <w:name w:val="Lined - Accent 6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4">
    <w:name w:val="Bordered &amp; Lined - Accent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5">
    <w:name w:val="Bordered &amp; Lined - Accent 1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ce0f1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67a4d8" w:themeFill="accent1" w:themeFillTint="EA"/>
      </w:tcPr>
    </w:tblStylePr>
  </w:style>
  <w:style w:type="table" w:styleId="806">
    <w:name w:val="Bordered &amp; Lined - Accent 2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be5d6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f4b185" w:themeFill="accent2" w:themeFillTint="97"/>
      </w:tcPr>
    </w:tblStylePr>
  </w:style>
  <w:style w:type="table" w:styleId="807">
    <w:name w:val="Bordered &amp; Lined - Accent 3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dede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a5a5a5" w:themeFill="accent3" w:themeFillTint="FE"/>
      </w:tcPr>
    </w:tblStylePr>
  </w:style>
  <w:style w:type="table" w:styleId="808">
    <w:name w:val="Bordered &amp; Lined - Accent 4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fef2cb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ffd864" w:themeFill="accent4" w:themeFillTint="9A"/>
      </w:tcPr>
    </w:tblStylePr>
  </w:style>
  <w:style w:type="table" w:styleId="809">
    <w:name w:val="Bordered &amp; Lined - Accent 5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9e2f2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10">
    <w:name w:val="Bordered &amp; Lined - Accent 6"/>
    <w:basedOn w:val="83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e2ef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11">
    <w:name w:val="Bordered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2">
    <w:name w:val="Bordered - Accent 1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3">
    <w:name w:val="Bordered - Accent 2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4">
    <w:name w:val="Bordered - Accent 3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5">
    <w:name w:val="Bordered - Accent 4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16">
    <w:name w:val="Bordered - Accent 5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17">
    <w:name w:val="Bordered - Accent 6"/>
    <w:basedOn w:val="83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18">
    <w:name w:val="Hyperlink"/>
    <w:uiPriority w:val="99"/>
    <w:unhideWhenUsed/>
    <w:rPr>
      <w:color w:val="0000ff" w:themeColor="hyperlink"/>
      <w:u w:val="single"/>
    </w:rPr>
  </w:style>
  <w:style w:type="paragraph" w:styleId="819">
    <w:name w:val="footnote text"/>
    <w:basedOn w:val="836"/>
    <w:link w:val="820"/>
    <w:uiPriority w:val="99"/>
    <w:semiHidden/>
    <w:unhideWhenUsed/>
    <w:pPr>
      <w:spacing w:after="40" w:line="240" w:lineRule="auto"/>
    </w:pPr>
    <w:rPr>
      <w:sz w:val="18"/>
    </w:rPr>
  </w:style>
  <w:style w:type="character" w:styleId="820">
    <w:name w:val="Footnote Text Char"/>
    <w:link w:val="819"/>
    <w:uiPriority w:val="99"/>
    <w:rPr>
      <w:sz w:val="18"/>
    </w:rPr>
  </w:style>
  <w:style w:type="character" w:styleId="821">
    <w:name w:val="footnote reference"/>
    <w:basedOn w:val="838"/>
    <w:uiPriority w:val="99"/>
    <w:unhideWhenUsed/>
    <w:rPr>
      <w:vertAlign w:val="superscript"/>
    </w:rPr>
  </w:style>
  <w:style w:type="paragraph" w:styleId="822">
    <w:name w:val="endnote text"/>
    <w:basedOn w:val="836"/>
    <w:link w:val="823"/>
    <w:uiPriority w:val="99"/>
    <w:semiHidden/>
    <w:unhideWhenUsed/>
    <w:pPr>
      <w:spacing w:after="0" w:line="240" w:lineRule="auto"/>
    </w:pPr>
    <w:rPr>
      <w:sz w:val="20"/>
    </w:rPr>
  </w:style>
  <w:style w:type="character" w:styleId="823">
    <w:name w:val="Endnote Text Char"/>
    <w:link w:val="822"/>
    <w:uiPriority w:val="99"/>
    <w:rPr>
      <w:sz w:val="20"/>
    </w:rPr>
  </w:style>
  <w:style w:type="character" w:styleId="824">
    <w:name w:val="endnote reference"/>
    <w:basedOn w:val="838"/>
    <w:uiPriority w:val="99"/>
    <w:semiHidden/>
    <w:unhideWhenUsed/>
    <w:rPr>
      <w:vertAlign w:val="superscript"/>
    </w:rPr>
  </w:style>
  <w:style w:type="paragraph" w:styleId="825">
    <w:name w:val="toc 1"/>
    <w:basedOn w:val="836"/>
    <w:next w:val="836"/>
    <w:uiPriority w:val="39"/>
    <w:unhideWhenUsed/>
    <w:pPr>
      <w:ind w:left="0" w:right="0" w:firstLine="0"/>
      <w:spacing w:after="57"/>
    </w:pPr>
  </w:style>
  <w:style w:type="paragraph" w:styleId="826">
    <w:name w:val="toc 2"/>
    <w:basedOn w:val="836"/>
    <w:next w:val="836"/>
    <w:uiPriority w:val="39"/>
    <w:unhideWhenUsed/>
    <w:pPr>
      <w:ind w:left="283" w:right="0" w:firstLine="0"/>
      <w:spacing w:after="57"/>
    </w:pPr>
  </w:style>
  <w:style w:type="paragraph" w:styleId="827">
    <w:name w:val="toc 3"/>
    <w:basedOn w:val="836"/>
    <w:next w:val="836"/>
    <w:uiPriority w:val="39"/>
    <w:unhideWhenUsed/>
    <w:pPr>
      <w:ind w:left="567" w:right="0" w:firstLine="0"/>
      <w:spacing w:after="57"/>
    </w:pPr>
  </w:style>
  <w:style w:type="paragraph" w:styleId="828">
    <w:name w:val="toc 4"/>
    <w:basedOn w:val="836"/>
    <w:next w:val="836"/>
    <w:uiPriority w:val="39"/>
    <w:unhideWhenUsed/>
    <w:pPr>
      <w:ind w:left="850" w:right="0" w:firstLine="0"/>
      <w:spacing w:after="57"/>
    </w:pPr>
  </w:style>
  <w:style w:type="paragraph" w:styleId="829">
    <w:name w:val="toc 5"/>
    <w:basedOn w:val="836"/>
    <w:next w:val="836"/>
    <w:uiPriority w:val="39"/>
    <w:unhideWhenUsed/>
    <w:pPr>
      <w:ind w:left="1134" w:right="0" w:firstLine="0"/>
      <w:spacing w:after="57"/>
    </w:pPr>
  </w:style>
  <w:style w:type="paragraph" w:styleId="830">
    <w:name w:val="toc 6"/>
    <w:basedOn w:val="836"/>
    <w:next w:val="836"/>
    <w:uiPriority w:val="39"/>
    <w:unhideWhenUsed/>
    <w:pPr>
      <w:ind w:left="1417" w:right="0" w:firstLine="0"/>
      <w:spacing w:after="57"/>
    </w:pPr>
  </w:style>
  <w:style w:type="paragraph" w:styleId="831">
    <w:name w:val="toc 7"/>
    <w:basedOn w:val="836"/>
    <w:next w:val="836"/>
    <w:uiPriority w:val="39"/>
    <w:unhideWhenUsed/>
    <w:pPr>
      <w:ind w:left="1701" w:right="0" w:firstLine="0"/>
      <w:spacing w:after="57"/>
    </w:pPr>
  </w:style>
  <w:style w:type="paragraph" w:styleId="832">
    <w:name w:val="toc 8"/>
    <w:basedOn w:val="836"/>
    <w:next w:val="836"/>
    <w:uiPriority w:val="39"/>
    <w:unhideWhenUsed/>
    <w:pPr>
      <w:ind w:left="1984" w:right="0" w:firstLine="0"/>
      <w:spacing w:after="57"/>
    </w:pPr>
  </w:style>
  <w:style w:type="paragraph" w:styleId="833">
    <w:name w:val="toc 9"/>
    <w:basedOn w:val="836"/>
    <w:next w:val="836"/>
    <w:uiPriority w:val="39"/>
    <w:unhideWhenUsed/>
    <w:pPr>
      <w:ind w:left="2268" w:right="0" w:firstLine="0"/>
      <w:spacing w:after="57"/>
    </w:pPr>
  </w:style>
  <w:style w:type="paragraph" w:styleId="834">
    <w:name w:val="TOC Heading"/>
    <w:uiPriority w:val="39"/>
    <w:unhideWhenUsed/>
  </w:style>
  <w:style w:type="paragraph" w:styleId="835">
    <w:name w:val="table of figures"/>
    <w:basedOn w:val="836"/>
    <w:next w:val="836"/>
    <w:uiPriority w:val="99"/>
    <w:unhideWhenUsed/>
    <w:pPr>
      <w:spacing w:after="0" w:afterAutospacing="0"/>
    </w:pPr>
  </w:style>
  <w:style w:type="paragraph" w:styleId="836" w:default="1">
    <w:name w:val="Normal"/>
    <w:qFormat/>
  </w:style>
  <w:style w:type="paragraph" w:styleId="837">
    <w:name w:val="Heading 5"/>
    <w:basedOn w:val="836"/>
    <w:next w:val="836"/>
    <w:link w:val="846"/>
    <w:qFormat/>
    <w:pPr>
      <w:jc w:val="center"/>
      <w:keepNext/>
      <w:spacing w:after="0" w:line="240" w:lineRule="auto"/>
      <w:outlineLvl w:val="4"/>
    </w:pPr>
    <w:rPr>
      <w:rFonts w:ascii="Times New Roman" w:hAnsi="Times New Roman" w:eastAsia="Times New Roman" w:cs="Times New Roman"/>
      <w:b/>
      <w:sz w:val="28"/>
      <w:szCs w:val="20"/>
    </w:rPr>
  </w:style>
  <w:style w:type="character" w:styleId="838" w:default="1">
    <w:name w:val="Default Paragraph Font"/>
    <w:uiPriority w:val="1"/>
    <w:semiHidden/>
    <w:unhideWhenUsed/>
  </w:style>
  <w:style w:type="table" w:styleId="83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0" w:default="1">
    <w:name w:val="No List"/>
    <w:uiPriority w:val="99"/>
    <w:semiHidden/>
    <w:unhideWhenUsed/>
  </w:style>
  <w:style w:type="paragraph" w:styleId="841">
    <w:name w:val="Balloon Text"/>
    <w:basedOn w:val="836"/>
    <w:link w:val="842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42" w:customStyle="1">
    <w:name w:val="Текст выноски Знак"/>
    <w:basedOn w:val="838"/>
    <w:link w:val="841"/>
    <w:uiPriority w:val="99"/>
    <w:semiHidden/>
    <w:rPr>
      <w:rFonts w:ascii="Segoe UI" w:hAnsi="Segoe UI" w:cs="Segoe UI"/>
      <w:sz w:val="18"/>
      <w:szCs w:val="18"/>
    </w:rPr>
  </w:style>
  <w:style w:type="paragraph" w:styleId="843">
    <w:name w:val="List Paragraph"/>
    <w:basedOn w:val="836"/>
    <w:uiPriority w:val="34"/>
    <w:qFormat/>
    <w:pPr>
      <w:contextualSpacing/>
      <w:ind w:left="720"/>
    </w:pPr>
  </w:style>
  <w:style w:type="paragraph" w:styleId="844">
    <w:name w:val="No Spacing"/>
    <w:uiPriority w:val="1"/>
    <w:qFormat/>
    <w:pPr>
      <w:spacing w:after="0" w:line="240" w:lineRule="auto"/>
    </w:pPr>
  </w:style>
  <w:style w:type="paragraph" w:styleId="845" w:customStyle="1">
    <w:name w:val="docdata"/>
    <w:basedOn w:val="836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846" w:customStyle="1">
    <w:name w:val="Заголовок 5 Знак"/>
    <w:basedOn w:val="838"/>
    <w:link w:val="837"/>
    <w:uiPriority w:val="9"/>
    <w:rPr>
      <w:rFonts w:ascii="Times New Roman" w:hAnsi="Times New Roman" w:eastAsia="Times New Roman" w:cs="Times New Roman"/>
      <w:b/>
      <w:sz w:val="28"/>
      <w:szCs w:val="20"/>
    </w:rPr>
  </w:style>
  <w:style w:type="table" w:styleId="847">
    <w:name w:val="Table Grid"/>
    <w:basedOn w:val="839"/>
    <w:uiPriority w:val="3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8">
    <w:name w:val="Header"/>
    <w:basedOn w:val="836"/>
    <w:link w:val="849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49" w:customStyle="1">
    <w:name w:val="Верхний колонтитул Знак"/>
    <w:basedOn w:val="838"/>
    <w:link w:val="848"/>
    <w:uiPriority w:val="99"/>
  </w:style>
  <w:style w:type="paragraph" w:styleId="850">
    <w:name w:val="Footer"/>
    <w:basedOn w:val="836"/>
    <w:link w:val="851"/>
    <w:uiPriority w:val="99"/>
    <w:unhideWhenUsed/>
    <w:pPr>
      <w:spacing w:after="0" w:line="240" w:lineRule="auto"/>
      <w:tabs>
        <w:tab w:val="center" w:pos="4677" w:leader="none"/>
        <w:tab w:val="right" w:pos="9355" w:leader="none"/>
      </w:tabs>
    </w:pPr>
  </w:style>
  <w:style w:type="character" w:styleId="851" w:customStyle="1">
    <w:name w:val="Нижний колонтитул Знак"/>
    <w:basedOn w:val="838"/>
    <w:link w:val="850"/>
    <w:uiPriority w:val="99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Apache POI</dc:creator>
  <cp:revision>24</cp:revision>
  <dcterms:created xsi:type="dcterms:W3CDTF">2024-10-22T06:55:00Z</dcterms:created>
  <dcterms:modified xsi:type="dcterms:W3CDTF">2024-12-05T13:16:18Z</dcterms:modified>
</cp:coreProperties>
</file>