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 w:after="0"/>
        <w:widowControl w:val="off"/>
        <w:rPr>
          <w:rFonts w:ascii="Times New Roman" w:hAnsi="Times New Roman" w:eastAsia="Times New Roman"/>
          <w:b/>
          <w:spacing w:val="1"/>
          <w:sz w:val="24"/>
          <w:szCs w:val="28"/>
        </w:rPr>
      </w:pPr>
      <w:r>
        <w:rPr>
          <w:rFonts w:ascii="Times New Roman" w:hAnsi="Times New Roman" w:eastAsia="Times New Roman"/>
          <w:b/>
          <w:spacing w:val="1"/>
          <w:sz w:val="24"/>
          <w:szCs w:val="28"/>
          <w:lang w:eastAsia="ru-RU"/>
        </w:rPr>
        <w:t xml:space="preserve">Описание объекта закупки</w:t>
      </w:r>
      <w:r>
        <w:rPr>
          <w:sz w:val="24"/>
        </w:rPr>
      </w:r>
    </w:p>
    <w:p>
      <w:pPr>
        <w:jc w:val="center"/>
        <w:spacing w:lineRule="auto" w:line="240" w:after="0"/>
        <w:widowControl w:val="off"/>
        <w:rPr>
          <w:rFonts w:ascii="Times New Roman" w:hAnsi="Times New Roman" w:eastAsia="Times New Roman"/>
          <w:b w:val="false"/>
          <w:bCs/>
          <w:sz w:val="24"/>
          <w:szCs w:val="28"/>
        </w:rPr>
      </w:pPr>
      <w:r>
        <w:rPr>
          <w:rFonts w:ascii="Times New Roman" w:hAnsi="Times New Roman" w:eastAsia="Times New Roman"/>
          <w:b w:val="false"/>
          <w:spacing w:val="1"/>
          <w:sz w:val="24"/>
          <w:szCs w:val="28"/>
          <w:lang w:eastAsia="ru-RU"/>
        </w:rPr>
        <w:t xml:space="preserve">на в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ыполнение работ по сохранению (благоустройству) </w:t>
      </w:r>
      <w:r>
        <w:rPr>
          <w:b w:val="false"/>
          <w:sz w:val="24"/>
        </w:rPr>
      </w:r>
    </w:p>
    <w:p>
      <w:pPr>
        <w:jc w:val="center"/>
        <w:spacing w:lineRule="auto" w:line="240" w:after="0"/>
        <w:widowControl w:val="off"/>
        <w:rPr>
          <w:rFonts w:ascii="Times New Roman" w:hAnsi="Times New Roman" w:eastAsia="Times New Roman"/>
          <w:b w:val="false"/>
          <w:bCs/>
          <w:sz w:val="24"/>
          <w:szCs w:val="28"/>
        </w:rPr>
      </w:pP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с приспособлением под современное использование объекта культурного наследия федерального значения 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«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Парк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»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, 2-я пол. XIX в., входящего в состав объекта культурного наследия федерального значения 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«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Усадьба 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«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Высокое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»</w:t>
      </w: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, </w:t>
      </w:r>
      <w:r>
        <w:rPr>
          <w:b w:val="false"/>
          <w:sz w:val="24"/>
        </w:rPr>
      </w:r>
    </w:p>
    <w:p>
      <w:pPr>
        <w:jc w:val="center"/>
        <w:spacing w:lineRule="auto" w:line="240" w:after="0"/>
        <w:widowControl w:val="off"/>
        <w:rPr>
          <w:rFonts w:ascii="Times New Roman" w:hAnsi="Times New Roman" w:eastAsia="Times New Roman"/>
          <w:b w:val="false"/>
          <w:bCs/>
          <w:sz w:val="24"/>
          <w:szCs w:val="28"/>
        </w:rPr>
      </w:pPr>
      <w:r>
        <w:rPr>
          <w:rFonts w:ascii="Times New Roman" w:hAnsi="Times New Roman" w:eastAsia="Times New Roman"/>
          <w:b w:val="false"/>
          <w:bCs/>
          <w:sz w:val="24"/>
          <w:szCs w:val="28"/>
        </w:rPr>
        <w:t xml:space="preserve">2-я пол. XIX в. (Смоленская область), расположенного в Смоленской области, Новодугинский район, с. Высокое»</w:t>
      </w:r>
      <w:r>
        <w:rPr>
          <w:b w:val="false"/>
          <w:sz w:val="24"/>
        </w:rPr>
      </w:r>
    </w:p>
    <w:p>
      <w:pPr>
        <w:jc w:val="center"/>
        <w:spacing w:lineRule="auto" w:line="240" w:after="0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sz w:val="24"/>
        </w:rPr>
      </w:r>
    </w:p>
    <w:tbl>
      <w:tblPr>
        <w:tblW w:w="9930" w:type="dxa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7093"/>
      </w:tblGrid>
      <w:tr>
        <w:trPr>
          <w:trHeight w:val="7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left="66" w:right="43"/>
              <w:spacing w:lineRule="auto" w:line="240" w:after="0"/>
              <w:widowControl w:val="off"/>
              <w:tabs>
                <w:tab w:val="num" w:pos="2345" w:leader="none"/>
              </w:tabs>
              <w:rPr>
                <w:rFonts w:ascii="Times New Roman" w:hAnsi="Times New Roman"/>
                <w:spacing w:val="-1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bidi="hi-IN"/>
              </w:rPr>
              <w:t xml:space="preserve">Предмет контракта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jc w:val="both"/>
              <w:spacing w:lineRule="auto" w:line="240" w:after="0"/>
              <w:widowControl w:val="off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выполнение работ по сохранению (благоустройству) с приспособлением под современное использование объекта культурного наследия федерального значения «Парк», 2-я пол.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XIX в., входящего в состав объекта культурного наследия федерального значения «Усадьба «Высокое», 2-я пол. XIX в. (Смоленская область), расположенного в Смоленской области, Новодугинский район, с. Высокое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8"/>
              </w:rPr>
              <w:t xml:space="preserve"> (далее также – Объект культурного наследия)</w:t>
            </w:r>
            <w:r>
              <w:rPr>
                <w:sz w:val="24"/>
              </w:rPr>
            </w:r>
          </w:p>
        </w:tc>
      </w:tr>
      <w:tr>
        <w:trPr>
          <w:trHeight w:val="653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right="43"/>
              <w:spacing w:lineRule="auto" w:line="240" w:after="0"/>
              <w:widowControl w:val="off"/>
              <w:tabs>
                <w:tab w:val="num" w:pos="502" w:leader="none"/>
                <w:tab w:val="num" w:pos="2345" w:leader="none"/>
              </w:tabs>
              <w:rPr>
                <w:rFonts w:ascii="Times New Roman" w:hAnsi="Times New Roman"/>
                <w:spacing w:val="-1"/>
                <w:sz w:val="24"/>
                <w:szCs w:val="28"/>
              </w:rPr>
            </w:pPr>
            <w:r>
              <w:rPr>
                <w:rFonts w:ascii="Times New Roman" w:hAnsi="Times New Roman"/>
                <w:spacing w:val="-1"/>
                <w:sz w:val="24"/>
                <w:szCs w:val="28"/>
                <w:lang w:bidi="hi-IN"/>
              </w:rPr>
              <w:t xml:space="preserve">Заказчик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lang w:bidi="hi-IN"/>
              </w:rPr>
              <w:t xml:space="preserve">областное государственное бюджетное учреждение культуры «Смоленский государственный музей-заповедник»</w:t>
            </w:r>
            <w:r>
              <w:rPr>
                <w:sz w:val="24"/>
              </w:rPr>
            </w:r>
          </w:p>
        </w:tc>
      </w:tr>
      <w:tr>
        <w:trPr>
          <w:trHeight w:val="563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right="43"/>
              <w:spacing w:lineRule="auto" w:line="240" w:after="0"/>
              <w:widowControl w:val="off"/>
              <w:tabs>
                <w:tab w:val="num" w:pos="502" w:leader="none"/>
                <w:tab w:val="num" w:pos="2345" w:leader="none"/>
              </w:tabs>
              <w:rPr>
                <w:rFonts w:ascii="Times New Roman" w:hAnsi="Times New Roman"/>
                <w:spacing w:val="-1"/>
                <w:sz w:val="24"/>
                <w:szCs w:val="28"/>
              </w:rPr>
            </w:pPr>
            <w:r>
              <w:rPr>
                <w:rFonts w:ascii="Times New Roman" w:hAnsi="Times New Roman"/>
                <w:spacing w:val="-1"/>
                <w:sz w:val="24"/>
                <w:szCs w:val="28"/>
                <w:lang w:bidi="hi-IN"/>
              </w:rPr>
              <w:t xml:space="preserve">Подрядная организация (Подрядчик)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ind w:right="45"/>
              <w:jc w:val="both"/>
              <w:keepNext/>
              <w:spacing w:lineRule="auto" w:line="240" w:after="0"/>
              <w:widowControl w:val="off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8"/>
              </w:rPr>
              <w:outlineLvl w:val="0"/>
            </w:pPr>
            <w:r>
              <w:rPr>
                <w:rFonts w:ascii="Times New Roman" w:hAnsi="Times New Roman"/>
                <w:color w:val="000000"/>
                <w:sz w:val="24"/>
                <w:szCs w:val="28"/>
                <w:lang w:bidi="hi-IN"/>
              </w:rPr>
              <w:t xml:space="preserve">Подрядчик определяется по итогам проведения конкурсных процедур</w:t>
            </w:r>
            <w:r>
              <w:rPr>
                <w:sz w:val="24"/>
              </w:rPr>
            </w:r>
          </w:p>
        </w:tc>
      </w:tr>
      <w:tr>
        <w:trPr>
          <w:trHeight w:val="543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right="43"/>
              <w:spacing w:lineRule="auto" w:line="240" w:after="0"/>
              <w:widowControl w:val="off"/>
              <w:tabs>
                <w:tab w:val="num" w:pos="502" w:leader="none"/>
                <w:tab w:val="num" w:pos="2345" w:leader="none"/>
              </w:tabs>
              <w:rPr>
                <w:rFonts w:ascii="Times New Roman" w:hAnsi="Times New Roman"/>
                <w:spacing w:val="-1"/>
                <w:sz w:val="24"/>
                <w:szCs w:val="28"/>
              </w:rPr>
            </w:pPr>
            <w:r>
              <w:rPr>
                <w:rFonts w:ascii="Times New Roman" w:hAnsi="Times New Roman"/>
                <w:spacing w:val="-1"/>
                <w:sz w:val="24"/>
                <w:szCs w:val="28"/>
                <w:lang w:bidi="hi-IN"/>
              </w:rPr>
              <w:t xml:space="preserve">Источник финансирования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ind w:right="43"/>
              <w:jc w:val="both"/>
              <w:spacing w:lineRule="auto" w:line="240" w:after="0"/>
              <w:widowControl w:val="off"/>
              <w:rPr>
                <w:rFonts w:ascii="Times New Roman" w:hAnsi="Times New Roman"/>
                <w:color w:val="000000"/>
                <w:spacing w:val="-1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  <w:szCs w:val="28"/>
                <w:lang w:bidi="hi-IN"/>
              </w:rPr>
              <w:t xml:space="preserve">бюджет Смоленской области</w:t>
            </w:r>
            <w:r>
              <w:rPr>
                <w:sz w:val="24"/>
              </w:rPr>
            </w:r>
          </w:p>
        </w:tc>
      </w:tr>
      <w:tr>
        <w:trPr>
          <w:trHeight w:val="44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right="43"/>
              <w:spacing w:lineRule="auto" w:line="240" w:after="0"/>
              <w:widowControl w:val="off"/>
              <w:tabs>
                <w:tab w:val="num" w:pos="2345" w:leader="none"/>
              </w:tabs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bidi="hi-IN"/>
              </w:rPr>
              <w:t xml:space="preserve">Требования к научно-проектной документации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8"/>
              </w:rPr>
              <w:t xml:space="preserve">Подрядчик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на безвозмездной основе 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8"/>
              </w:rPr>
              <w:t xml:space="preserve">обеспечивает разработку научно-проектной документации на 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выполнение работ по сохранению (благоустройству) с приспособлением под современное использование объекта культурного наследия федерального значения «Парк», 2-я пол. XIX в., входящего в соста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в объекта культурного наследия федерального значения «Усадьба «Высокое», 2-я пол. XIX в. (Смоленская область), расположенного в Смоленской области, Новодугинский район, с. Высокое (далее – Проект), проведение государственной историко-культурной экспертизы 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Проекта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, согласование 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Проекта в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уполномоченном органе исполнительной власти Смоленской области в области сохранения, использования, популяризации и государственной охраны объектов культурного наследия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.</w:t>
            </w:r>
            <w:r>
              <w:rPr>
                <w:sz w:val="24"/>
              </w:rPr>
            </w:r>
          </w:p>
          <w:p>
            <w:pPr>
              <w:ind w:firstLine="709"/>
              <w:jc w:val="both"/>
              <w:spacing w:lineRule="auto" w:line="240"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Подрядчик передает Заказчику 1 (один) экземпляр Проекта с приложением положительного заключения государственной историко-культурной экспертизы Проекта, письма согласования Проекта уполномоченным органом исполнительной власти Смоленской области в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области сохранения, использования, популяризации и государственной охраны объектов культурного наследия, положительного заключения государственной экспертизы достоверности определения сметной стоимости работ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.</w:t>
            </w:r>
            <w:r>
              <w:rPr>
                <w:sz w:val="24"/>
              </w:rPr>
            </w:r>
          </w:p>
        </w:tc>
      </w:tr>
      <w:tr>
        <w:trPr>
          <w:trHeight w:val="7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left="66" w:right="43"/>
              <w:spacing w:lineRule="auto" w:line="240" w:after="0"/>
              <w:widowControl w:val="off"/>
              <w:tabs>
                <w:tab w:val="num" w:pos="2345" w:leader="none"/>
              </w:tabs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bidi="hi-IN"/>
              </w:rPr>
              <w:t xml:space="preserve">Перечень планируемых работ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определяется Проектом, получившим положительное заключение 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государственной историко-культурной экспертизы Проекта, согласован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ным</w:t>
            </w:r>
            <w:r>
              <w:rPr>
                <w:rFonts w:ascii="Times New Roman" w:hAnsi="Times New Roman" w:eastAsia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уполномоченн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ы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м органе исполнительной власти Смоленской области в области сохранения, использования, популяризации и государственной охраны объектов культурного наследия</w:t>
            </w:r>
            <w:r>
              <w:rPr>
                <w:sz w:val="24"/>
              </w:rPr>
            </w:r>
          </w:p>
        </w:tc>
      </w:tr>
      <w:tr>
        <w:trPr>
          <w:trHeight w:val="44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right="43"/>
              <w:spacing w:lineRule="auto" w:line="240" w:after="0"/>
              <w:widowControl w:val="off"/>
              <w:tabs>
                <w:tab w:val="num" w:pos="2345" w:leader="none"/>
              </w:tabs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bidi="hi-IN"/>
              </w:rPr>
              <w:t xml:space="preserve">Место выполнения работ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8"/>
              </w:rPr>
              <w:t xml:space="preserve">Смоленская область, Новодугинский район, с. Высокое</w:t>
            </w:r>
            <w:r>
              <w:rPr>
                <w:sz w:val="24"/>
              </w:rPr>
            </w:r>
          </w:p>
        </w:tc>
      </w:tr>
      <w:tr>
        <w:trPr>
          <w:trHeight w:val="44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right="43"/>
              <w:spacing w:lineRule="auto" w:line="240" w:after="0"/>
              <w:widowControl w:val="off"/>
              <w:tabs>
                <w:tab w:val="num" w:pos="2345" w:leader="none"/>
              </w:tabs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bidi="hi-IN"/>
              </w:rPr>
              <w:t xml:space="preserve">Сроки выполнения работ 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ind w:firstLine="32"/>
              <w:jc w:val="both"/>
              <w:spacing w:lineRule="auto" w:line="240"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даты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заключения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контракт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до полного завершения работ, но не позднее 12.12.2025 года</w:t>
            </w:r>
            <w:r>
              <w:rPr>
                <w:sz w:val="24"/>
              </w:rPr>
            </w:r>
          </w:p>
        </w:tc>
      </w:tr>
      <w:tr>
        <w:trPr>
          <w:trHeight w:val="413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Сведения об утверждении границы территории Объекта культурного наследия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pStyle w:val="633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границы территории Объекта культурного наследия утвержден приказом Главного управления Смоленской области по культурному наследию от 28.04.2025 № Пр-85 «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Об утверждении границы территории объекта культурного наследия (памятника истории и культуры) народов Российской Федерации федерального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значения «Парк», 2-я пол. XIX в., включенного в единый государственный реестр объектов культурного наследия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(памятников истории и культуры) народов Российской Федерации, расположенного по адресу (местонахождение):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Смоленская область,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Новодугинский район, с. Высокое, входящего в состав объекта культурного наследия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4"/>
                <w:szCs w:val="28"/>
                <w:lang w:eastAsia="en-US"/>
              </w:rPr>
              <w:t xml:space="preserve">федерального значения «Усадьба «Высокое», 2-я пол. XIX в., режима использования ее земель</w:t>
            </w:r>
            <w:r>
              <w:rPr>
                <w:sz w:val="24"/>
                <w:szCs w:val="28"/>
              </w:rPr>
              <w:t xml:space="preserve">»</w:t>
            </w:r>
            <w:r>
              <w:rPr>
                <w:sz w:val="24"/>
              </w:rPr>
            </w:r>
          </w:p>
        </w:tc>
      </w:tr>
      <w:tr>
        <w:trPr>
          <w:trHeight w:val="413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Сведения об утверждении предмета охраны Объекта культурного наследия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pStyle w:val="633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предмет охраны Объекта культурного наследия утвержден приказом Главного управления Смоленской области по культурному наследию от 28.04.2025 № Пр-86 «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Об утверждении особенностей объекта культурного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 наследия (памятника истории и культуры) народов Российской Федерации федерального значения «Парк», 2-я пол. XIX в., расположенного по адресу (местонахождение): Смоленская область, Новодугинский район, с. Высокое, входящего в состав объекта культурного нас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ледия федерального значения «Усадьба «Высокое», 2-я пол. XIX в., послуживших основанием для включения его в единый государственный реестр объектов культурного наследия (памятников истории и культуры) народов Российской Федерации и подлежащих обязательному </w:t>
            </w:r>
            <w:r>
              <w:rPr>
                <w:rFonts w:eastAsia="Calibri"/>
                <w:sz w:val="24"/>
                <w:szCs w:val="28"/>
                <w:lang w:eastAsia="en-US"/>
              </w:rPr>
              <w:t xml:space="preserve">сохранению</w:t>
            </w:r>
            <w:r>
              <w:rPr>
                <w:sz w:val="24"/>
                <w:szCs w:val="28"/>
              </w:rPr>
              <w:t xml:space="preserve">»</w:t>
            </w:r>
            <w:r>
              <w:rPr>
                <w:sz w:val="24"/>
              </w:rPr>
            </w:r>
          </w:p>
        </w:tc>
      </w:tr>
      <w:tr>
        <w:trPr>
          <w:trHeight w:val="698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right="43"/>
              <w:spacing w:lineRule="auto" w:line="240" w:after="0"/>
              <w:widowControl w:val="off"/>
              <w:tabs>
                <w:tab w:val="num" w:pos="2345" w:leader="none"/>
              </w:tabs>
              <w:rPr>
                <w:rFonts w:ascii="Times New Roman" w:hAnsi="Times New Roman"/>
                <w:spacing w:val="-1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bidi="hi-IN"/>
              </w:rPr>
              <w:t xml:space="preserve">Обязательные требования</w:t>
            </w:r>
            <w:r>
              <w:rPr>
                <w:rFonts w:ascii="Times New Roman" w:hAnsi="Times New Roman"/>
                <w:sz w:val="24"/>
                <w:szCs w:val="28"/>
                <w:lang w:bidi="hi-IN"/>
              </w:rPr>
              <w:t xml:space="preserve">, предъявляемые к Подрядчику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sz w:val="24"/>
                <w:szCs w:val="28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8"/>
                <w:highlight w:val="white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8"/>
                <w:highlight w:val="white"/>
              </w:rPr>
              <w:t xml:space="preserve">аличие у Подрядчика </w:t>
            </w:r>
            <w:r>
              <w:rPr>
                <w:rFonts w:ascii="Times New Roman" w:hAnsi="Times New Roman"/>
                <w:sz w:val="24"/>
                <w:szCs w:val="28"/>
                <w:highlight w:val="white"/>
              </w:rPr>
              <w:t xml:space="preserve">лицензии</w:t>
            </w:r>
            <w:r>
              <w:rPr>
                <w:rFonts w:ascii="Times New Roman" w:hAnsi="Times New Roman"/>
                <w:sz w:val="24"/>
                <w:szCs w:val="28"/>
                <w:highlight w:val="white"/>
              </w:rPr>
              <w:t xml:space="preserve"> на осуществление деятельности по сохранению объектов культурного наследия (памятников истории и культуры) народов Российской Федерации:</w:t>
            </w:r>
            <w:r>
              <w:rPr>
                <w:sz w:val="24"/>
                <w:highlight w:val="white"/>
              </w:rPr>
            </w:r>
            <w:r>
              <w:rPr>
                <w:sz w:val="24"/>
                <w:highlight w:val="white"/>
              </w:rPr>
            </w:r>
          </w:p>
          <w:p>
            <w:pPr>
              <w:pStyle w:val="633"/>
              <w:jc w:val="both"/>
              <w:rPr>
                <w:b/>
                <w:sz w:val="24"/>
                <w:szCs w:val="28"/>
                <w:highlight w:val="white"/>
              </w:rPr>
            </w:pPr>
            <w:r>
              <w:rPr>
                <w:sz w:val="24"/>
                <w:szCs w:val="28"/>
                <w:highlight w:val="white"/>
              </w:rPr>
              <w:t xml:space="preserve">- </w:t>
            </w:r>
            <w:r>
              <w:rPr>
                <w:b/>
                <w:sz w:val="24"/>
                <w:szCs w:val="28"/>
                <w:highlight w:val="white"/>
              </w:rPr>
              <w:t xml:space="preserve">реставрация, консервация и воссоздание исторического ландшафта и произведений садово-паркового искусства</w:t>
            </w:r>
            <w:r>
              <w:rPr>
                <w:b/>
                <w:sz w:val="24"/>
                <w:highlight w:val="white"/>
              </w:rPr>
            </w:r>
            <w:r>
              <w:rPr>
                <w:b/>
                <w:sz w:val="24"/>
                <w:highlight w:val="white"/>
              </w:rPr>
            </w:r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837" w:type="dxa"/>
            <w:textDirection w:val="lrTb"/>
            <w:noWrap w:val="false"/>
          </w:tcPr>
          <w:p>
            <w:pPr>
              <w:ind w:right="43"/>
              <w:spacing w:lineRule="auto" w:line="240" w:after="0"/>
              <w:widowControl w:val="off"/>
              <w:tabs>
                <w:tab w:val="num" w:pos="2345" w:leader="none"/>
              </w:tabs>
              <w:rPr>
                <w:rFonts w:ascii="Times New Roman" w:hAnsi="Times New Roman"/>
                <w:spacing w:val="-1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  <w:lang w:bidi="hi-IN"/>
              </w:rPr>
              <w:t xml:space="preserve">Общие требования к выполнению реставрационных работ</w:t>
            </w:r>
            <w:r>
              <w:rPr>
                <w:sz w:val="24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3" w:type="dxa"/>
            <w:textDirection w:val="lrTb"/>
            <w:noWrap w:val="false"/>
          </w:tcPr>
          <w:p>
            <w:pPr>
              <w:jc w:val="both"/>
              <w:spacing w:lineRule="auto" w:line="240" w:after="0"/>
              <w:widowControl w:val="off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lang w:eastAsia="en-US"/>
              </w:rPr>
              <w:t xml:space="preserve">Работы выполняются на основании соответствующего разрешения, выданного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уполномоченным органом исполнительной власти Смоленской области в области сохранения, использования, популяризации и государственной охраны объектов культурного наследия, в соответствии с Проектом</w:t>
            </w:r>
            <w:r>
              <w:rPr>
                <w:rFonts w:ascii="Times New Roman" w:hAnsi="Times New Roman"/>
                <w:color w:val="000000"/>
                <w:sz w:val="24"/>
                <w:szCs w:val="28"/>
                <w:lang w:eastAsia="en-US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8"/>
                <w:lang w:eastAsia="en-US"/>
              </w:rPr>
              <w:t xml:space="preserve">Подрядчик обеспечивает заключение договоров на осуществление авторского надзора, научного руководства проведением Работ, технического надзора за проведением Работ</w:t>
            </w:r>
            <w:r>
              <w:rPr>
                <w:sz w:val="24"/>
              </w:rPr>
            </w:r>
          </w:p>
        </w:tc>
      </w:tr>
    </w:tbl>
    <w:p>
      <w:pPr>
        <w:rPr>
          <w:sz w:val="24"/>
        </w:rPr>
      </w:pPr>
      <w:r>
        <w:rPr>
          <w:sz w:val="24"/>
        </w:rPr>
      </w:r>
      <w:r>
        <w:rPr>
          <w:sz w:val="24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537" w:hanging="360"/>
      </w:pPr>
      <w:rPr>
        <w:rFonts w:ascii="Symbol" w:hAnsi="Symbol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7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9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1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3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5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7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97" w:hanging="180"/>
      </w:pPr>
    </w:lvl>
  </w:abstractNum>
  <w:num w:numId="1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51">
    <w:name w:val="Heading 1"/>
    <w:basedOn w:val="627"/>
    <w:next w:val="627"/>
    <w:link w:val="45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52">
    <w:name w:val="Heading 1 Char"/>
    <w:basedOn w:val="628"/>
    <w:link w:val="451"/>
    <w:uiPriority w:val="9"/>
    <w:rPr>
      <w:rFonts w:ascii="Arial" w:hAnsi="Arial" w:cs="Arial" w:eastAsia="Arial"/>
      <w:sz w:val="40"/>
      <w:szCs w:val="40"/>
    </w:rPr>
  </w:style>
  <w:style w:type="paragraph" w:styleId="453">
    <w:name w:val="Heading 2"/>
    <w:basedOn w:val="627"/>
    <w:next w:val="627"/>
    <w:link w:val="45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54">
    <w:name w:val="Heading 2 Char"/>
    <w:basedOn w:val="628"/>
    <w:link w:val="453"/>
    <w:uiPriority w:val="9"/>
    <w:rPr>
      <w:rFonts w:ascii="Arial" w:hAnsi="Arial" w:cs="Arial" w:eastAsia="Arial"/>
      <w:sz w:val="34"/>
    </w:rPr>
  </w:style>
  <w:style w:type="paragraph" w:styleId="455">
    <w:name w:val="Heading 3"/>
    <w:basedOn w:val="627"/>
    <w:next w:val="627"/>
    <w:link w:val="45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56">
    <w:name w:val="Heading 3 Char"/>
    <w:basedOn w:val="628"/>
    <w:link w:val="455"/>
    <w:uiPriority w:val="9"/>
    <w:rPr>
      <w:rFonts w:ascii="Arial" w:hAnsi="Arial" w:cs="Arial" w:eastAsia="Arial"/>
      <w:sz w:val="30"/>
      <w:szCs w:val="30"/>
    </w:rPr>
  </w:style>
  <w:style w:type="paragraph" w:styleId="457">
    <w:name w:val="Heading 4"/>
    <w:basedOn w:val="627"/>
    <w:next w:val="627"/>
    <w:link w:val="45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58">
    <w:name w:val="Heading 4 Char"/>
    <w:basedOn w:val="628"/>
    <w:link w:val="457"/>
    <w:uiPriority w:val="9"/>
    <w:rPr>
      <w:rFonts w:ascii="Arial" w:hAnsi="Arial" w:cs="Arial" w:eastAsia="Arial"/>
      <w:b/>
      <w:bCs/>
      <w:sz w:val="26"/>
      <w:szCs w:val="26"/>
    </w:rPr>
  </w:style>
  <w:style w:type="paragraph" w:styleId="459">
    <w:name w:val="Heading 5"/>
    <w:basedOn w:val="627"/>
    <w:next w:val="627"/>
    <w:link w:val="46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60">
    <w:name w:val="Heading 5 Char"/>
    <w:basedOn w:val="628"/>
    <w:link w:val="459"/>
    <w:uiPriority w:val="9"/>
    <w:rPr>
      <w:rFonts w:ascii="Arial" w:hAnsi="Arial" w:cs="Arial" w:eastAsia="Arial"/>
      <w:b/>
      <w:bCs/>
      <w:sz w:val="24"/>
      <w:szCs w:val="24"/>
    </w:rPr>
  </w:style>
  <w:style w:type="paragraph" w:styleId="461">
    <w:name w:val="Heading 6"/>
    <w:basedOn w:val="627"/>
    <w:next w:val="627"/>
    <w:link w:val="46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62">
    <w:name w:val="Heading 6 Char"/>
    <w:basedOn w:val="628"/>
    <w:link w:val="461"/>
    <w:uiPriority w:val="9"/>
    <w:rPr>
      <w:rFonts w:ascii="Arial" w:hAnsi="Arial" w:cs="Arial" w:eastAsia="Arial"/>
      <w:b/>
      <w:bCs/>
      <w:sz w:val="22"/>
      <w:szCs w:val="22"/>
    </w:rPr>
  </w:style>
  <w:style w:type="paragraph" w:styleId="463">
    <w:name w:val="Heading 7"/>
    <w:basedOn w:val="627"/>
    <w:next w:val="627"/>
    <w:link w:val="46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64">
    <w:name w:val="Heading 7 Char"/>
    <w:basedOn w:val="628"/>
    <w:link w:val="46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65">
    <w:name w:val="Heading 8"/>
    <w:basedOn w:val="627"/>
    <w:next w:val="627"/>
    <w:link w:val="46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66">
    <w:name w:val="Heading 8 Char"/>
    <w:basedOn w:val="628"/>
    <w:link w:val="465"/>
    <w:uiPriority w:val="9"/>
    <w:rPr>
      <w:rFonts w:ascii="Arial" w:hAnsi="Arial" w:cs="Arial" w:eastAsia="Arial"/>
      <w:i/>
      <w:iCs/>
      <w:sz w:val="22"/>
      <w:szCs w:val="22"/>
    </w:rPr>
  </w:style>
  <w:style w:type="paragraph" w:styleId="467">
    <w:name w:val="Heading 9"/>
    <w:basedOn w:val="627"/>
    <w:next w:val="627"/>
    <w:link w:val="46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68">
    <w:name w:val="Heading 9 Char"/>
    <w:basedOn w:val="628"/>
    <w:link w:val="467"/>
    <w:uiPriority w:val="9"/>
    <w:rPr>
      <w:rFonts w:ascii="Arial" w:hAnsi="Arial" w:cs="Arial" w:eastAsia="Arial"/>
      <w:i/>
      <w:iCs/>
      <w:sz w:val="21"/>
      <w:szCs w:val="21"/>
    </w:rPr>
  </w:style>
  <w:style w:type="paragraph" w:styleId="469">
    <w:name w:val="No Spacing"/>
    <w:qFormat/>
    <w:uiPriority w:val="1"/>
    <w:pPr>
      <w:spacing w:lineRule="auto" w:line="240" w:after="0" w:before="0"/>
    </w:pPr>
  </w:style>
  <w:style w:type="paragraph" w:styleId="470">
    <w:name w:val="Title"/>
    <w:basedOn w:val="627"/>
    <w:next w:val="627"/>
    <w:link w:val="47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71">
    <w:name w:val="Title Char"/>
    <w:basedOn w:val="628"/>
    <w:link w:val="470"/>
    <w:uiPriority w:val="10"/>
    <w:rPr>
      <w:sz w:val="48"/>
      <w:szCs w:val="48"/>
    </w:rPr>
  </w:style>
  <w:style w:type="paragraph" w:styleId="472">
    <w:name w:val="Subtitle"/>
    <w:basedOn w:val="627"/>
    <w:next w:val="627"/>
    <w:link w:val="473"/>
    <w:qFormat/>
    <w:uiPriority w:val="11"/>
    <w:rPr>
      <w:sz w:val="24"/>
      <w:szCs w:val="24"/>
    </w:rPr>
    <w:pPr>
      <w:spacing w:after="200" w:before="200"/>
    </w:pPr>
  </w:style>
  <w:style w:type="character" w:styleId="473">
    <w:name w:val="Subtitle Char"/>
    <w:basedOn w:val="628"/>
    <w:link w:val="472"/>
    <w:uiPriority w:val="11"/>
    <w:rPr>
      <w:sz w:val="24"/>
      <w:szCs w:val="24"/>
    </w:rPr>
  </w:style>
  <w:style w:type="paragraph" w:styleId="474">
    <w:name w:val="Quote"/>
    <w:basedOn w:val="627"/>
    <w:next w:val="627"/>
    <w:link w:val="475"/>
    <w:qFormat/>
    <w:uiPriority w:val="29"/>
    <w:rPr>
      <w:i/>
    </w:rPr>
    <w:pPr>
      <w:ind w:left="720" w:right="720"/>
    </w:pPr>
  </w:style>
  <w:style w:type="character" w:styleId="475">
    <w:name w:val="Quote Char"/>
    <w:link w:val="474"/>
    <w:uiPriority w:val="29"/>
    <w:rPr>
      <w:i/>
    </w:rPr>
  </w:style>
  <w:style w:type="paragraph" w:styleId="476">
    <w:name w:val="Intense Quote"/>
    <w:basedOn w:val="627"/>
    <w:next w:val="627"/>
    <w:link w:val="477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77">
    <w:name w:val="Intense Quote Char"/>
    <w:link w:val="476"/>
    <w:uiPriority w:val="30"/>
    <w:rPr>
      <w:i/>
    </w:rPr>
  </w:style>
  <w:style w:type="paragraph" w:styleId="478">
    <w:name w:val="Header"/>
    <w:basedOn w:val="627"/>
    <w:link w:val="47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79">
    <w:name w:val="Header Char"/>
    <w:basedOn w:val="628"/>
    <w:link w:val="478"/>
    <w:uiPriority w:val="99"/>
  </w:style>
  <w:style w:type="paragraph" w:styleId="480">
    <w:name w:val="Footer"/>
    <w:basedOn w:val="627"/>
    <w:link w:val="48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81">
    <w:name w:val="Footer Char"/>
    <w:basedOn w:val="628"/>
    <w:link w:val="480"/>
    <w:uiPriority w:val="99"/>
  </w:style>
  <w:style w:type="paragraph" w:styleId="482">
    <w:name w:val="Caption"/>
    <w:basedOn w:val="627"/>
    <w:next w:val="62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83">
    <w:name w:val="Caption Char"/>
    <w:basedOn w:val="482"/>
    <w:link w:val="480"/>
    <w:uiPriority w:val="99"/>
  </w:style>
  <w:style w:type="table" w:styleId="484">
    <w:name w:val="Table Grid"/>
    <w:basedOn w:val="62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">
    <w:name w:val="Table Grid Light"/>
    <w:basedOn w:val="62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6">
    <w:name w:val="Plain Table 1"/>
    <w:basedOn w:val="62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7">
    <w:name w:val="Plain Table 2"/>
    <w:basedOn w:val="62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8">
    <w:name w:val="Plain Table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9">
    <w:name w:val="Plain Table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0">
    <w:name w:val="Plain Table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91">
    <w:name w:val="Grid Table 1 Light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Grid Table 1 Light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Grid Table 1 Light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Grid Table 1 Light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Grid Table 1 Light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Grid Table 1 Light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Grid Table 1 Light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Grid Table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2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2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2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2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Grid Table 2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Grid Table 2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3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3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3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Grid Table 3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0">
    <w:name w:val="Grid Table 3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1">
    <w:name w:val="Grid Table 3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2">
    <w:name w:val="Grid Table 4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3">
    <w:name w:val="Grid Table 4 - Accent 1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14">
    <w:name w:val="Grid Table 4 - Accent 2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15">
    <w:name w:val="Grid Table 4 - Accent 3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16">
    <w:name w:val="Grid Table 4 - Accent 4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17">
    <w:name w:val="Grid Table 4 - Accent 5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18">
    <w:name w:val="Grid Table 4 - Accent 6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19">
    <w:name w:val="Grid Table 5 Dark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20">
    <w:name w:val="Grid Table 5 Dark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21">
    <w:name w:val="Grid Table 5 Dark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22">
    <w:name w:val="Grid Table 5 Dark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23">
    <w:name w:val="Grid Table 5 Dark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24">
    <w:name w:val="Grid Table 5 Dark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25">
    <w:name w:val="Grid Table 5 Dark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26">
    <w:name w:val="Grid Table 6 Colorful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27">
    <w:name w:val="Grid Table 6 Colorful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28">
    <w:name w:val="Grid Table 6 Colorful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29">
    <w:name w:val="Grid Table 6 Colorful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30">
    <w:name w:val="Grid Table 6 Colorful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31">
    <w:name w:val="Grid Table 6 Colorful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2">
    <w:name w:val="Grid Table 6 Colorful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3">
    <w:name w:val="Grid Table 7 Colorful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7 Colorful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7 Colorful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Grid Table 7 Colorful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Grid Table 7 Colorful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Grid Table 7 Colorful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Grid Table 7 Colorful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List Table 1 Light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List Table 1 Light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List Table 1 Light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List Table 1 Light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List Table 1 Light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List Table 1 Light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6">
    <w:name w:val="List Table 1 Light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7">
    <w:name w:val="List Table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48">
    <w:name w:val="List Table 2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49">
    <w:name w:val="List Table 2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50">
    <w:name w:val="List Table 2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51">
    <w:name w:val="List Table 2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52">
    <w:name w:val="List Table 2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53">
    <w:name w:val="List Table 2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54">
    <w:name w:val="List Table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List Table 3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List Table 3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List Table 3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3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List Table 3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List Table 3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List Table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>
    <w:name w:val="List Table 4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>
    <w:name w:val="List Table 4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>
    <w:name w:val="List Table 4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>
    <w:name w:val="List Table 4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>
    <w:name w:val="List Table 4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>
    <w:name w:val="List Table 4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8">
    <w:name w:val="List Table 5 Dark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9">
    <w:name w:val="List Table 5 Dark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0">
    <w:name w:val="List Table 5 Dark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1">
    <w:name w:val="List Table 5 Dark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2">
    <w:name w:val="List Table 5 Dark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3">
    <w:name w:val="List Table 5 Dark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4">
    <w:name w:val="List Table 5 Dark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5">
    <w:name w:val="List Table 6 Colorful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76">
    <w:name w:val="List Table 6 Colorful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77">
    <w:name w:val="List Table 6 Colorful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78">
    <w:name w:val="List Table 6 Colorful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79">
    <w:name w:val="List Table 6 Colorful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80">
    <w:name w:val="List Table 6 Colorful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81">
    <w:name w:val="List Table 6 Colorful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82">
    <w:name w:val="List Table 7 Colorful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83">
    <w:name w:val="List Table 7 Colorful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84">
    <w:name w:val="List Table 7 Colorful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85">
    <w:name w:val="List Table 7 Colorful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86">
    <w:name w:val="List Table 7 Colorful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87">
    <w:name w:val="List Table 7 Colorful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88">
    <w:name w:val="List Table 7 Colorful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89">
    <w:name w:val="Lined - Accent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90">
    <w:name w:val="Lined - Accent 1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1">
    <w:name w:val="Lined - Accent 2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2">
    <w:name w:val="Lined - Accent 3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3">
    <w:name w:val="Lined - Accent 4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94">
    <w:name w:val="Lined - Accent 5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95">
    <w:name w:val="Lined - Accent 6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96">
    <w:name w:val="Bordered &amp; Lined - Accent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97">
    <w:name w:val="Bordered &amp; Lined - Accent 1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8">
    <w:name w:val="Bordered &amp; Lined - Accent 2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9">
    <w:name w:val="Bordered &amp; Lined - Accent 3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00">
    <w:name w:val="Bordered &amp; Lined - Accent 4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01">
    <w:name w:val="Bordered &amp; Lined - Accent 5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02">
    <w:name w:val="Bordered &amp; Lined - Accent 6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03">
    <w:name w:val="Bordered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04">
    <w:name w:val="Bordered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05">
    <w:name w:val="Bordered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06">
    <w:name w:val="Bordered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07">
    <w:name w:val="Bordered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08">
    <w:name w:val="Bordered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09">
    <w:name w:val="Bordered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10">
    <w:name w:val="Hyperlink"/>
    <w:uiPriority w:val="99"/>
    <w:unhideWhenUsed/>
    <w:rPr>
      <w:color w:val="0000FF" w:themeColor="hyperlink"/>
      <w:u w:val="single"/>
    </w:rPr>
  </w:style>
  <w:style w:type="paragraph" w:styleId="611">
    <w:name w:val="footnote text"/>
    <w:basedOn w:val="627"/>
    <w:link w:val="612"/>
    <w:uiPriority w:val="99"/>
    <w:semiHidden/>
    <w:unhideWhenUsed/>
    <w:rPr>
      <w:sz w:val="18"/>
    </w:rPr>
    <w:pPr>
      <w:spacing w:lineRule="auto" w:line="240" w:after="40"/>
    </w:pPr>
  </w:style>
  <w:style w:type="character" w:styleId="612">
    <w:name w:val="Footnote Text Char"/>
    <w:link w:val="611"/>
    <w:uiPriority w:val="99"/>
    <w:rPr>
      <w:sz w:val="18"/>
    </w:rPr>
  </w:style>
  <w:style w:type="character" w:styleId="613">
    <w:name w:val="footnote reference"/>
    <w:basedOn w:val="628"/>
    <w:uiPriority w:val="99"/>
    <w:unhideWhenUsed/>
    <w:rPr>
      <w:vertAlign w:val="superscript"/>
    </w:rPr>
  </w:style>
  <w:style w:type="paragraph" w:styleId="614">
    <w:name w:val="endnote text"/>
    <w:basedOn w:val="627"/>
    <w:link w:val="615"/>
    <w:uiPriority w:val="99"/>
    <w:semiHidden/>
    <w:unhideWhenUsed/>
    <w:rPr>
      <w:sz w:val="20"/>
    </w:rPr>
    <w:pPr>
      <w:spacing w:lineRule="auto" w:line="240" w:after="0"/>
    </w:pPr>
  </w:style>
  <w:style w:type="character" w:styleId="615">
    <w:name w:val="Endnote Text Char"/>
    <w:link w:val="614"/>
    <w:uiPriority w:val="99"/>
    <w:rPr>
      <w:sz w:val="20"/>
    </w:rPr>
  </w:style>
  <w:style w:type="character" w:styleId="616">
    <w:name w:val="endnote reference"/>
    <w:basedOn w:val="628"/>
    <w:uiPriority w:val="99"/>
    <w:semiHidden/>
    <w:unhideWhenUsed/>
    <w:rPr>
      <w:vertAlign w:val="superscript"/>
    </w:rPr>
  </w:style>
  <w:style w:type="paragraph" w:styleId="617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618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619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620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621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622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623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624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625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626">
    <w:name w:val="TOC Heading"/>
    <w:uiPriority w:val="39"/>
    <w:unhideWhenUsed/>
  </w:style>
  <w:style w:type="paragraph" w:styleId="627" w:default="1">
    <w:name w:val="Normal"/>
    <w:qFormat/>
    <w:rPr>
      <w:rFonts w:ascii="Calibri" w:hAnsi="Calibri" w:cs="Times New Roman" w:eastAsia="Calibri"/>
      <w:lang w:eastAsia="zh-CN"/>
    </w:rPr>
    <w:pPr>
      <w:spacing w:lineRule="auto" w:line="256" w:after="16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628" w:default="1">
    <w:name w:val="Default Paragraph Font"/>
    <w:uiPriority w:val="1"/>
    <w:unhideWhenUsed/>
  </w:style>
  <w:style w:type="table" w:styleId="6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0" w:default="1">
    <w:name w:val="No List"/>
    <w:uiPriority w:val="99"/>
    <w:semiHidden/>
    <w:unhideWhenUsed/>
  </w:style>
  <w:style w:type="paragraph" w:styleId="631">
    <w:name w:val="List Paragraph"/>
    <w:basedOn w:val="627"/>
    <w:link w:val="632"/>
    <w:qFormat/>
    <w:uiPriority w:val="34"/>
    <w:pPr>
      <w:contextualSpacing w:val="true"/>
      <w:ind w:left="720"/>
    </w:pPr>
  </w:style>
  <w:style w:type="character" w:styleId="632" w:customStyle="1">
    <w:name w:val="Абзац списка Знак"/>
    <w:link w:val="631"/>
    <w:uiPriority w:val="34"/>
    <w:rPr>
      <w:rFonts w:ascii="Calibri" w:hAnsi="Calibri" w:cs="Times New Roman" w:eastAsia="Calibri"/>
      <w:lang w:eastAsia="zh-CN"/>
    </w:rPr>
  </w:style>
  <w:style w:type="paragraph" w:styleId="633" w:customStyle="1">
    <w:name w:val="Default"/>
    <w:rPr>
      <w:rFonts w:ascii="Times New Roman" w:hAnsi="Times New Roman" w:cs="Times New Roman" w:eastAsia="Times New Roman"/>
      <w:color w:val="000000"/>
      <w:sz w:val="24"/>
      <w:szCs w:val="24"/>
      <w:lang w:eastAsia="ru-RU"/>
    </w:rPr>
    <w:pPr>
      <w:spacing w:lineRule="auto" w:line="240" w:after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Р7-Офис/6.0.1.37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7</cp:revision>
  <dcterms:created xsi:type="dcterms:W3CDTF">2025-05-23T12:35:00Z</dcterms:created>
  <dcterms:modified xsi:type="dcterms:W3CDTF">2025-05-27T13:00:04Z</dcterms:modified>
</cp:coreProperties>
</file>