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72"/>
        <w:jc w:val="center"/>
        <w:rPr>
          <w:rFonts w:ascii="Times New Roman" w:hAnsi="Times New Roman" w:eastAsia="Courier New" w:cs="Times New Roman"/>
          <w:b/>
          <w:sz w:val="20"/>
          <w:szCs w:val="20"/>
        </w:rPr>
      </w:pPr>
      <w:r>
        <w:rPr>
          <w:rFonts w:ascii="Times New Roman" w:hAnsi="Times New Roman" w:eastAsia="Courier New" w:cs="Times New Roman"/>
          <w:b/>
          <w:sz w:val="20"/>
          <w:szCs w:val="20"/>
        </w:rPr>
        <w:t xml:space="preserve">ТРЕБОВАНИЯ К СОДЕРЖАНИЮ, СОСТАВУ ЗАЯВКИ НА УЧАСТИЕ В ЗАКУПКЕ </w:t>
      </w:r>
      <w:r/>
    </w:p>
    <w:p>
      <w:pPr>
        <w:pStyle w:val="672"/>
        <w:jc w:val="center"/>
        <w:rPr>
          <w:rFonts w:ascii="Times New Roman" w:hAnsi="Times New Roman" w:eastAsia="Courier New" w:cs="Times New Roman"/>
          <w:b/>
          <w:sz w:val="20"/>
          <w:szCs w:val="20"/>
        </w:rPr>
      </w:pPr>
      <w:r>
        <w:rPr>
          <w:rFonts w:ascii="Times New Roman" w:hAnsi="Times New Roman" w:eastAsia="Courier New" w:cs="Times New Roman"/>
          <w:b/>
          <w:sz w:val="20"/>
          <w:szCs w:val="20"/>
        </w:rPr>
        <w:t xml:space="preserve">И ИНСТРУКЦИЯ ПО ЕЕ ЗАПОЛНЕНИЮ</w:t>
      </w:r>
      <w:r/>
    </w:p>
    <w:p>
      <w:pPr>
        <w:pStyle w:val="672"/>
        <w:jc w:val="center"/>
        <w:rPr>
          <w:rFonts w:ascii="Times New Roman" w:hAnsi="Times New Roman" w:eastAsia="Courier New" w:cs="Times New Roman"/>
          <w:sz w:val="20"/>
          <w:szCs w:val="20"/>
        </w:rPr>
      </w:pPr>
      <w:r>
        <w:rPr>
          <w:rFonts w:ascii="Times New Roman" w:hAnsi="Times New Roman" w:eastAsia="Courier New" w:cs="Times New Roman"/>
          <w:sz w:val="20"/>
          <w:szCs w:val="20"/>
        </w:rPr>
      </w:r>
      <w:r/>
    </w:p>
    <w:tbl>
      <w:tblPr>
        <w:tblStyle w:val="675"/>
        <w:tblW w:w="10881" w:type="dxa"/>
        <w:tblLook w:val="04A0" w:firstRow="1" w:lastRow="0" w:firstColumn="1" w:lastColumn="0" w:noHBand="0" w:noVBand="1"/>
      </w:tblPr>
      <w:tblGrid>
        <w:gridCol w:w="534"/>
        <w:gridCol w:w="5103"/>
        <w:gridCol w:w="5244"/>
      </w:tblGrid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Требования к содержанию, составу заявки </w:t>
            </w:r>
            <w:r/>
          </w:p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на участие в закупке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Текст пояснений</w:t>
            </w:r>
            <w:r/>
          </w:p>
        </w:tc>
      </w:tr>
      <w:tr>
        <w:trPr>
          <w:trHeight w:val="495"/>
        </w:trPr>
        <w:tc>
          <w:tcPr>
            <w:gridSpan w:val="3"/>
            <w:shd w:val="clear" w:color="auto" w:fill="d9d9d9" w:themeFill="background1" w:themeFillShade="D9"/>
            <w:tcW w:w="10881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Информация и документы об участнике закупки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Декларация о соответствии участника закупки требованиям, установленным </w:t>
            </w:r>
            <w:hyperlink w:tooltip="#P777" w:anchor="P777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пунктами 3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- </w:t>
            </w:r>
            <w:hyperlink w:tooltip="#P780" w:anchor="P780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5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, </w:t>
            </w:r>
            <w:hyperlink w:tooltip="#P782" w:anchor="P782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7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- </w:t>
            </w:r>
            <w:hyperlink w:tooltip="#P791" w:anchor="P791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11 части 1 статьи 31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Федерального закона № 44-ФЗ.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spacing w:line="220" w:lineRule="atLeast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требованиям, установленным </w:t>
            </w:r>
            <w:hyperlink w:tooltip="#P775" w:anchor="P775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пунктом 1 части 1 статьи 31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Федерального закона № 44-ФЗ (в случае установления требований о предоставлении соответствующих документов в извещении об осуществлении закупки).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е установлено.</w:t>
            </w:r>
            <w:r/>
          </w:p>
        </w:tc>
      </w:tr>
      <w:tr>
        <w:trPr>
          <w:trHeight w:val="778"/>
        </w:trPr>
        <w:tc>
          <w:tcPr>
            <w:tcW w:w="534" w:type="dxa"/>
            <w:vMerge w:val="restar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1.5.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</w:t>
            </w:r>
            <w:hyperlink w:tooltip="#P795" w:anchor="P795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частью</w:t>
              </w:r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 2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статьи 31 Федерального закона № 44-ФЗ, если иное не предусмотр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ено Федеральным законом № 44-ФЗ.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У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становлено.</w:t>
            </w:r>
            <w:r/>
          </w:p>
          <w:p>
            <w:pPr>
              <w:pStyle w:val="672"/>
              <w:jc w:val="both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Исчерпывающий перечень документов установлен в Извещении об осуществлении закупки.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/>
          </w:p>
          <w:p>
            <w:pPr>
              <w:pStyle w:val="672"/>
              <w:jc w:val="both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Не включаются участником закупки в заявку на участие в закупке. Такие документы направляются (по состоянию на дату и время их направления) оператором электронной площадки, из реестра участников закупок, аккредитованных на электронной площадке.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/>
          </w:p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наличия противоречий между информацией, содержащейся в Единой информационной системе, и информацией, содержащейся в д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окументах, направляемых участниками закупки и предусмотренных приложением в графе "Информация и документы, подтверждающие соответствие участников закупки дополнительным требованиям", приоритет имеет информация, содержащаяся в Единой информационной системе.</w:t>
            </w: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</w:r>
            <w:r/>
          </w:p>
        </w:tc>
      </w:tr>
      <w:tr>
        <w:trPr>
          <w:trHeight w:val="0"/>
        </w:trPr>
        <w:tc>
          <w:tcPr>
            <w:tcW w:w="534" w:type="dxa"/>
            <w:vMerge w:val="continue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частью 2.1 статьи 31 Федерального закона № 44-ФЗ, если иное не предусмотр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ено Федеральным законом № 44-ФЗ.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pStyle w:val="672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Не установлено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</w:t>
            </w:r>
            <w:r/>
          </w:p>
        </w:tc>
      </w:tr>
      <w:tr>
        <w:trPr>
          <w:trHeight w:val="340"/>
        </w:trPr>
        <w:tc>
          <w:tcPr>
            <w:gridSpan w:val="3"/>
            <w:shd w:val="clear" w:color="auto" w:fill="d9d9d9" w:themeFill="background1" w:themeFillShade="D9"/>
            <w:tcW w:w="10881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2. Предложение участника закупки в отношении объекта закупки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2.1.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Характеристики предла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гаемого участником закупки товара (в том числе поставляемого заказчику при выполнении закупаемых работ, оказании закупаемых услуг), соответствующие показателям, установленным в описании объекта закупки, товарный знак (при наличии у товара товарного знака).</w:t>
            </w:r>
            <w:r/>
          </w:p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Информация о товаре</w:t>
            </w:r>
            <w:r>
              <w:rPr>
                <w:rFonts w:ascii="Times New Roman" w:hAnsi="Times New Roman" w:eastAsia="Courier New" w:cs="Times New Roman"/>
                <w:b/>
                <w:i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поставляемого заказчику при выполнении закупаемых работ, оказании закупаемых услуг, обозначенного таким товарным знаком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Установлено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2.2.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Установлено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2.3.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Документы, подтверждающие соответствие товара, работы или услуги требованиям, установленным в соответс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становлено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2.4.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pStyle w:val="672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При формировании предложения в отношении объекта закупки Участник закупки вправе предоставить иные информацию и документы, в том числе эскиз, рисунок, чертеж, фотография, иное изображение предлагаемого участником закупки товара.</w:t>
            </w:r>
            <w:r/>
          </w:p>
        </w:tc>
      </w:tr>
      <w:tr>
        <w:trPr/>
        <w:tc>
          <w:tcPr>
            <w:gridSpan w:val="3"/>
            <w:shd w:val="clear" w:color="auto" w:fill="d9d9d9" w:themeFill="background1" w:themeFillShade="D9"/>
            <w:tcW w:w="10881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п.2 части 2 статьи 14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 Федерального закона № 44-ФЗ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3.1.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отсутствия таких информации и документов в заявке на уча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pStyle w:val="672"/>
              <w:ind w:firstLine="482"/>
              <w:jc w:val="both"/>
              <w:rPr>
                <w:rFonts w:ascii="Times New Roman" w:hAnsi="Times New Roman" w:eastAsia="Times New Roman" w:cs="Times New Roman"/>
                <w:b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Установлено преимущество </w:t>
            </w:r>
            <w:r>
              <w:rPr>
                <w:rFonts w:ascii="Times New Roman" w:hAnsi="Times New Roman" w:eastAsia="Times New Roman" w:cs="Times New Roman"/>
                <w:b/>
                <w:color w:val="c00000"/>
                <w:sz w:val="20"/>
                <w:szCs w:val="20"/>
              </w:rPr>
              <w:t xml:space="preserve">в соответствии с </w:t>
            </w:r>
            <w:r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  <w:t xml:space="preserve">Постановлением Правительства Российской Федерации о мерах по предоставлению национального режима от 23.12.2024 № 1875</w:t>
            </w:r>
            <w:r/>
          </w:p>
          <w:p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/>
            <w:bookmarkStart w:id="0" w:name="_GoBack"/>
            <w:r/>
            <w:bookmarkEnd w:id="0"/>
            <w:r/>
            <w:r/>
          </w:p>
        </w:tc>
      </w:tr>
      <w:tr>
        <w:trPr>
          <w:trHeight w:val="340"/>
        </w:trPr>
        <w:tc>
          <w:tcPr>
            <w:gridSpan w:val="3"/>
            <w:shd w:val="clear" w:color="auto" w:fill="d9d9d9" w:themeFill="background1" w:themeFillShade="D9"/>
            <w:tcW w:w="108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Инструкция по заполнению заявки на участие в закупке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.1.</w:t>
            </w:r>
            <w:r/>
          </w:p>
        </w:tc>
        <w:tc>
          <w:tcPr>
            <w:gridSpan w:val="2"/>
            <w:tcW w:w="10347" w:type="dxa"/>
            <w:textDirection w:val="lrTb"/>
            <w:noWrap w:val="false"/>
          </w:tcPr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 Подать заявку на участие в закупке вправе только зарегистриров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анный в единой информационной системе и аккредитованный на электронной площадке, участник закупки путем направления такой заявки в соответствии с Федеральным законом № 44-ФЗ оператору электронной площадки, оператору специализированной электронной площадки.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закупки, до окончания срока подачи заявок на участие в закупке.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 Подача заявки на участие в закупке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4. Заявка на участие в закупке должна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быть заполнена на русском языке. Отдельные документы (или их части), предоставленные участником закупки в составе заявки на участие в закупке, могут быть подготовлены на другом языке при условии, что к ним будет прилагаться точный перевод необходимых разд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елов на русский язык.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нотариате, утвержденных Верховным Советом РФ 11 февраля 1993 года № 4462-1.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5. При оформлении заявки участникам закупки следует использовать общепринятые обозначения и наименования в соответствии с требованиями действующих нормативных актов. Сведения, которые содержатся в заявке, не должны допускать двусмысленных толкований. 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6. Все документы, входящие в состав заявки на участие в закупке, должны иметь четко читаемый текст.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7. Характеристики предлагаемог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о участником закупки товара (в том числе поставляемого заказчику при выполнении закупаемых работ, оказании закупаемых услуг, должны соответствовать показателям, установленным в описании объекта закупки, товарный знак (при наличии у товара товарного знака).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8. Участником закупки в заявке устанавливаются характеристики и показатели товара, подлежащие указанию в заявке, соответствующие значениям, установленным в описании объекта закупки. </w:t>
            </w:r>
            <w:r/>
          </w:p>
          <w:p>
            <w:pPr>
              <w:pStyle w:val="672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9. При подаче сведений относительно предложенного товара участником закупки должны применяться обозначения (характеристики и показатели товара, подлежащие указанию в заявке) в соответствии с обозначениями, установленными в описании объекта закупки. </w:t>
            </w:r>
            <w:r/>
          </w:p>
          <w:p>
            <w:pPr>
              <w:pStyle w:val="672"/>
              <w:ind w:firstLine="171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10. Ответственность за достоверность сведений, указанных в заявке, несет участник закупки</w:t>
            </w:r>
            <w:r/>
          </w:p>
        </w:tc>
      </w:tr>
    </w:tbl>
    <w:p>
      <w:pPr>
        <w:pStyle w:val="672"/>
        <w:jc w:val="center"/>
        <w:rPr>
          <w:rFonts w:ascii="Times New Roman" w:hAnsi="Times New Roman" w:eastAsia="Courier New" w:cs="Times New Roman"/>
          <w:sz w:val="20"/>
          <w:szCs w:val="20"/>
        </w:rPr>
      </w:pPr>
      <w:r>
        <w:rPr>
          <w:rFonts w:ascii="Times New Roman" w:hAnsi="Times New Roman" w:eastAsia="Courier New" w:cs="Times New Roman"/>
          <w:sz w:val="20"/>
          <w:szCs w:val="20"/>
        </w:rPr>
      </w:r>
      <w:r/>
    </w:p>
    <w:sectPr>
      <w:footerReference w:type="default" r:id="rId9"/>
      <w:footnotePr/>
      <w:endnotePr/>
      <w:type w:val="nextPage"/>
      <w:pgSz w:w="11900" w:h="16840" w:orient="portrait"/>
      <w:pgMar w:top="568" w:right="800" w:bottom="426" w:left="800" w:header="720" w:footer="40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 xml:space="preserve">2</w:t>
    </w:r>
    <w:r>
      <w:rPr>
        <w:sz w:val="18"/>
        <w:szCs w:val="18"/>
      </w:rP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540" w:hanging="227"/>
        <w:tabs>
          <w:tab w:val="num" w:pos="54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eastAsia="Wingdings" w:cs="Wingdings"/>
      </w:rPr>
    </w:lvl>
  </w:abstractNum>
  <w:abstractNum w:abstractNumId="3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eastAsia="Wingdings" w:cs="Wingdings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64"/>
    <w:next w:val="664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66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64"/>
    <w:next w:val="664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66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64"/>
    <w:next w:val="664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66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64"/>
    <w:next w:val="66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66"/>
    <w:link w:val="1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66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64"/>
    <w:next w:val="66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66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64"/>
    <w:next w:val="66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66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64"/>
    <w:next w:val="66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66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64"/>
    <w:next w:val="66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66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664"/>
    <w:next w:val="66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66"/>
    <w:link w:val="33"/>
    <w:uiPriority w:val="10"/>
    <w:rPr>
      <w:sz w:val="48"/>
      <w:szCs w:val="48"/>
    </w:rPr>
  </w:style>
  <w:style w:type="paragraph" w:styleId="35">
    <w:name w:val="Subtitle"/>
    <w:basedOn w:val="664"/>
    <w:next w:val="66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66"/>
    <w:link w:val="35"/>
    <w:uiPriority w:val="11"/>
    <w:rPr>
      <w:sz w:val="24"/>
      <w:szCs w:val="24"/>
    </w:rPr>
  </w:style>
  <w:style w:type="paragraph" w:styleId="37">
    <w:name w:val="Quote"/>
    <w:basedOn w:val="664"/>
    <w:next w:val="66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64"/>
    <w:next w:val="66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66"/>
    <w:link w:val="676"/>
    <w:uiPriority w:val="99"/>
  </w:style>
  <w:style w:type="character" w:styleId="44">
    <w:name w:val="Footer Char"/>
    <w:basedOn w:val="666"/>
    <w:link w:val="678"/>
    <w:uiPriority w:val="99"/>
  </w:style>
  <w:style w:type="paragraph" w:styleId="45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78"/>
    <w:uiPriority w:val="99"/>
  </w:style>
  <w:style w:type="table" w:styleId="48">
    <w:name w:val="Table Grid Light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6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66"/>
    <w:uiPriority w:val="99"/>
    <w:unhideWhenUsed/>
    <w:rPr>
      <w:vertAlign w:val="superscript"/>
    </w:rPr>
  </w:style>
  <w:style w:type="paragraph" w:styleId="177">
    <w:name w:val="endnote text"/>
    <w:basedOn w:val="66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66"/>
    <w:uiPriority w:val="99"/>
    <w:semiHidden/>
    <w:unhideWhenUsed/>
    <w:rPr>
      <w:vertAlign w:val="superscript"/>
    </w:rPr>
  </w:style>
  <w:style w:type="paragraph" w:styleId="180">
    <w:name w:val="toc 1"/>
    <w:basedOn w:val="664"/>
    <w:next w:val="66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64"/>
    <w:next w:val="66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64"/>
    <w:next w:val="66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64"/>
    <w:next w:val="66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64"/>
    <w:next w:val="66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64"/>
    <w:next w:val="66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64"/>
    <w:next w:val="66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64"/>
    <w:next w:val="66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64"/>
    <w:next w:val="66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64"/>
    <w:next w:val="664"/>
    <w:uiPriority w:val="99"/>
    <w:unhideWhenUsed/>
    <w:pPr>
      <w:spacing w:after="0" w:afterAutospacing="0"/>
    </w:pPr>
  </w:style>
  <w:style w:type="paragraph" w:styleId="664" w:default="1">
    <w:name w:val="Normal"/>
    <w:qFormat/>
  </w:style>
  <w:style w:type="paragraph" w:styleId="665">
    <w:name w:val="Heading 5"/>
    <w:basedOn w:val="664"/>
    <w:next w:val="664"/>
    <w:link w:val="674"/>
    <w:qFormat/>
    <w:pPr>
      <w:jc w:val="center"/>
      <w:keepNext/>
      <w:spacing w:after="0" w:line="240" w:lineRule="auto"/>
      <w:outlineLvl w:val="4"/>
    </w:pPr>
    <w:rPr>
      <w:rFonts w:ascii="Times New Roman" w:hAnsi="Times New Roman" w:eastAsia="Times New Roman" w:cs="Times New Roman"/>
      <w:b/>
      <w:sz w:val="28"/>
      <w:szCs w:val="20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paragraph" w:styleId="669">
    <w:name w:val="Balloon Text"/>
    <w:basedOn w:val="664"/>
    <w:link w:val="67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70" w:customStyle="1">
    <w:name w:val="Текст выноски Знак"/>
    <w:basedOn w:val="666"/>
    <w:link w:val="669"/>
    <w:uiPriority w:val="99"/>
    <w:semiHidden/>
    <w:rPr>
      <w:rFonts w:ascii="Segoe UI" w:hAnsi="Segoe UI" w:cs="Segoe UI"/>
      <w:sz w:val="18"/>
      <w:szCs w:val="18"/>
    </w:rPr>
  </w:style>
  <w:style w:type="paragraph" w:styleId="671">
    <w:name w:val="List Paragraph"/>
    <w:basedOn w:val="664"/>
    <w:uiPriority w:val="34"/>
    <w:qFormat/>
    <w:pPr>
      <w:contextualSpacing/>
      <w:ind w:left="720"/>
    </w:pPr>
  </w:style>
  <w:style w:type="paragraph" w:styleId="672">
    <w:name w:val="No Spacing"/>
    <w:uiPriority w:val="1"/>
    <w:qFormat/>
    <w:pPr>
      <w:spacing w:after="0" w:line="240" w:lineRule="auto"/>
    </w:pPr>
  </w:style>
  <w:style w:type="paragraph" w:styleId="673" w:customStyle="1">
    <w:name w:val="docdata"/>
    <w:basedOn w:val="6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674" w:customStyle="1">
    <w:name w:val="Заголовок 5 Знак"/>
    <w:basedOn w:val="666"/>
    <w:link w:val="665"/>
    <w:uiPriority w:val="9"/>
    <w:rPr>
      <w:rFonts w:ascii="Times New Roman" w:hAnsi="Times New Roman" w:eastAsia="Times New Roman" w:cs="Times New Roman"/>
      <w:b/>
      <w:sz w:val="28"/>
      <w:szCs w:val="20"/>
    </w:rPr>
  </w:style>
  <w:style w:type="table" w:styleId="675">
    <w:name w:val="Table Grid"/>
    <w:basedOn w:val="66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76">
    <w:name w:val="Header"/>
    <w:basedOn w:val="664"/>
    <w:link w:val="67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7" w:customStyle="1">
    <w:name w:val="Верхний колонтитул Знак"/>
    <w:basedOn w:val="666"/>
    <w:link w:val="676"/>
    <w:uiPriority w:val="99"/>
  </w:style>
  <w:style w:type="paragraph" w:styleId="678">
    <w:name w:val="Footer"/>
    <w:basedOn w:val="664"/>
    <w:link w:val="67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9" w:customStyle="1">
    <w:name w:val="Нижний колонтитул Знак"/>
    <w:basedOn w:val="666"/>
    <w:link w:val="67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revision>4</cp:revision>
  <dcterms:created xsi:type="dcterms:W3CDTF">2024-10-31T09:54:00Z</dcterms:created>
  <dcterms:modified xsi:type="dcterms:W3CDTF">2025-06-17T14:25:01Z</dcterms:modified>
</cp:coreProperties>
</file>