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69"/>
        <w:ind w:firstLine="709"/>
        <w:jc w:val="right"/>
        <w:spacing w:after="0"/>
        <w:rPr>
          <w:bCs/>
          <w:sz w:val="22"/>
          <w:szCs w:val="22"/>
          <w:lang w:eastAsia="ru-RU"/>
        </w:rPr>
      </w:pPr>
      <w:r>
        <w:rPr>
          <w:bCs/>
          <w:sz w:val="22"/>
          <w:szCs w:val="22"/>
          <w:lang w:eastAsia="ru-RU"/>
        </w:rPr>
      </w:r>
      <w:r/>
    </w:p>
    <w:p>
      <w:pPr>
        <w:pStyle w:val="669"/>
        <w:ind w:firstLine="709"/>
        <w:jc w:val="center"/>
        <w:spacing w:after="0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</w:r>
      <w:r/>
    </w:p>
    <w:p>
      <w:pPr>
        <w:pStyle w:val="669"/>
        <w:ind w:firstLine="709"/>
        <w:jc w:val="center"/>
        <w:spacing w:after="0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О</w:t>
      </w:r>
      <w:r>
        <w:rPr>
          <w:b/>
          <w:bCs/>
          <w:sz w:val="28"/>
          <w:szCs w:val="28"/>
          <w:lang w:eastAsia="ru-RU"/>
        </w:rPr>
        <w:t xml:space="preserve">босновани</w:t>
      </w:r>
      <w:r>
        <w:rPr>
          <w:b/>
          <w:bCs/>
          <w:sz w:val="28"/>
          <w:szCs w:val="28"/>
          <w:lang w:eastAsia="ru-RU"/>
        </w:rPr>
        <w:t xml:space="preserve">е</w:t>
      </w:r>
      <w:r/>
    </w:p>
    <w:p>
      <w:pPr>
        <w:pStyle w:val="669"/>
        <w:ind w:firstLine="709"/>
        <w:jc w:val="center"/>
        <w:spacing w:after="0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начальной (максимальной) цены контракта</w:t>
      </w:r>
      <w:r>
        <w:rPr>
          <w:b/>
          <w:bCs/>
          <w:sz w:val="28"/>
          <w:szCs w:val="28"/>
          <w:lang w:eastAsia="ru-RU"/>
        </w:rPr>
      </w:r>
      <w:r/>
    </w:p>
    <w:p>
      <w:pPr>
        <w:pStyle w:val="669"/>
        <w:ind w:firstLine="709"/>
        <w:jc w:val="center"/>
        <w:spacing w:after="0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</w:r>
      <w:r/>
    </w:p>
    <w:tbl>
      <w:tblPr>
        <w:tblW w:w="15041" w:type="dxa"/>
        <w:tblInd w:w="93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60"/>
        <w:gridCol w:w="5020"/>
        <w:gridCol w:w="2657"/>
        <w:gridCol w:w="203"/>
        <w:gridCol w:w="1700"/>
        <w:gridCol w:w="1400"/>
        <w:gridCol w:w="1120"/>
        <w:gridCol w:w="2381"/>
      </w:tblGrid>
      <w:tr>
        <w:trPr>
          <w:trHeight w:val="18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60" w:type="dxa"/>
            <w:vAlign w:val="bottom"/>
            <w:textDirection w:val="lrTb"/>
            <w:noWrap/>
          </w:tcPr>
          <w:p>
            <w:pPr>
              <w:pStyle w:val="655"/>
              <w:jc w:val="both"/>
              <w:rPr>
                <w:rFonts w:ascii="Times New Roman" w:hAnsi="Times New Roman" w:eastAsia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8"/>
                <w:szCs w:val="28"/>
                <w:lang w:eastAsia="ru-RU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020" w:type="dxa"/>
            <w:vAlign w:val="bottom"/>
            <w:textDirection w:val="lrTb"/>
            <w:noWrap/>
          </w:tcPr>
          <w:p>
            <w:pPr>
              <w:pStyle w:val="655"/>
              <w:jc w:val="left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60" w:type="dxa"/>
            <w:vAlign w:val="bottom"/>
            <w:textDirection w:val="lrTb"/>
            <w:noWrap/>
          </w:tcPr>
          <w:p>
            <w:pPr>
              <w:pStyle w:val="655"/>
              <w:jc w:val="left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0" w:type="dxa"/>
            <w:vAlign w:val="bottom"/>
            <w:textDirection w:val="lrTb"/>
            <w:noWrap/>
          </w:tcPr>
          <w:p>
            <w:pPr>
              <w:pStyle w:val="655"/>
              <w:jc w:val="left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00" w:type="dxa"/>
            <w:vAlign w:val="bottom"/>
            <w:textDirection w:val="lrTb"/>
            <w:noWrap/>
          </w:tcPr>
          <w:p>
            <w:pPr>
              <w:pStyle w:val="655"/>
              <w:jc w:val="left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20" w:type="dxa"/>
            <w:vAlign w:val="bottom"/>
            <w:textDirection w:val="lrTb"/>
            <w:noWrap/>
          </w:tcPr>
          <w:p>
            <w:pPr>
              <w:pStyle w:val="655"/>
              <w:jc w:val="left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81" w:type="dxa"/>
            <w:vAlign w:val="bottom"/>
            <w:textDirection w:val="lrTb"/>
            <w:noWrap/>
          </w:tcPr>
          <w:p>
            <w:pPr>
              <w:pStyle w:val="655"/>
              <w:jc w:val="left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</w:r>
            <w:r/>
          </w:p>
        </w:tc>
      </w:tr>
      <w:tr>
        <w:trPr>
          <w:trHeight w:val="571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80" w:type="dxa"/>
            <w:vAlign w:val="center"/>
            <w:textDirection w:val="lrTb"/>
            <w:noWrap w:val="false"/>
          </w:tcPr>
          <w:p>
            <w:pPr>
              <w:pStyle w:val="655"/>
              <w:jc w:val="left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Предмет контракта</w:t>
            </w:r>
            <w:r/>
          </w:p>
        </w:tc>
        <w:tc>
          <w:tcPr>
            <w:gridSpan w:val="6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461" w:type="dxa"/>
            <w:vAlign w:val="center"/>
            <w:textDirection w:val="lrTb"/>
            <w:noWrap w:val="false"/>
          </w:tcPr>
          <w:p>
            <w:pPr>
              <w:pStyle w:val="655"/>
              <w:ind w:right="13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Выполнение работ по капитальному ремонту фасада учебного корпуса СОГБПОУ «Верхнеднепровский технологический техникум», расположенного по адресу: пгт. Верхнеднепровский, ул. Молодежная, д.5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30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80" w:type="dxa"/>
            <w:vAlign w:val="center"/>
            <w:textDirection w:val="lrTb"/>
            <w:noWrap w:val="false"/>
          </w:tcPr>
          <w:p>
            <w:pPr>
              <w:pStyle w:val="655"/>
              <w:jc w:val="left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Основные характеристики объекта закупки</w:t>
            </w:r>
            <w:r/>
          </w:p>
        </w:tc>
        <w:tc>
          <w:tcPr>
            <w:gridSpan w:val="6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461" w:type="dxa"/>
            <w:vAlign w:val="center"/>
            <w:textDirection w:val="lrTb"/>
            <w:noWrap w:val="false"/>
          </w:tcPr>
          <w:p>
            <w:pPr>
              <w:pStyle w:val="655"/>
              <w:jc w:val="left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локально-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сметный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 расчет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r>
            <w:r/>
          </w:p>
        </w:tc>
      </w:tr>
      <w:tr>
        <w:trPr>
          <w:trHeight w:val="477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80" w:type="dxa"/>
            <w:vAlign w:val="center"/>
            <w:textDirection w:val="lrTb"/>
            <w:noWrap w:val="false"/>
          </w:tcPr>
          <w:p>
            <w:pPr>
              <w:pStyle w:val="655"/>
              <w:jc w:val="left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Используемый метод определения НМЦК</w:t>
            </w:r>
            <w:r/>
          </w:p>
        </w:tc>
        <w:tc>
          <w:tcPr>
            <w:gridSpan w:val="6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461" w:type="dxa"/>
            <w:vAlign w:val="center"/>
            <w:textDirection w:val="lrTb"/>
            <w:noWrap w:val="false"/>
          </w:tcPr>
          <w:p>
            <w:pPr>
              <w:pStyle w:val="655"/>
              <w:jc w:val="both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Проектно-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сметн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ый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 метод</w:t>
            </w:r>
            <w:r/>
          </w:p>
        </w:tc>
      </w:tr>
      <w:tr>
        <w:trPr>
          <w:trHeight w:val="315"/>
        </w:trPr>
        <w:tc>
          <w:tcPr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1" w:type="dxa"/>
            <w:vAlign w:val="center"/>
            <w:textDirection w:val="lrTb"/>
            <w:noWrap w:val="false"/>
          </w:tcPr>
          <w:p>
            <w:pPr>
              <w:pStyle w:val="655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Расчет НМЦК </w:t>
            </w:r>
            <w:r/>
          </w:p>
        </w:tc>
      </w:tr>
      <w:tr>
        <w:trPr>
          <w:cantSplit/>
          <w:trHeight w:val="420"/>
        </w:trPr>
        <w:tc>
          <w:tcPr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pStyle w:val="655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п/п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5020" w:type="dxa"/>
            <w:vAlign w:val="center"/>
            <w:vMerge w:val="restart"/>
            <w:textDirection w:val="lrTb"/>
            <w:noWrap w:val="false"/>
          </w:tcPr>
          <w:p>
            <w:pPr>
              <w:pStyle w:val="655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Наименование объекта закупки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57" w:type="dxa"/>
            <w:vAlign w:val="center"/>
            <w:vMerge w:val="restart"/>
            <w:textDirection w:val="lrTb"/>
            <w:noWrap w:val="false"/>
          </w:tcPr>
          <w:p>
            <w:pPr>
              <w:pStyle w:val="655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Источники обоснования НМЦК (руб.)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03" w:type="dxa"/>
            <w:vAlign w:val="center"/>
            <w:vMerge w:val="restart"/>
            <w:textDirection w:val="lrTb"/>
            <w:noWrap w:val="false"/>
          </w:tcPr>
          <w:p>
            <w:pPr>
              <w:pStyle w:val="655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единицу (руб.)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1400" w:type="dxa"/>
            <w:vAlign w:val="center"/>
            <w:vMerge w:val="restart"/>
            <w:textDirection w:val="lrTb"/>
            <w:noWrap w:val="false"/>
          </w:tcPr>
          <w:p>
            <w:pPr>
              <w:pStyle w:val="655"/>
              <w:rPr>
                <w:rFonts w:ascii="Times New Roman" w:hAnsi="Times New Roman" w:eastAsia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Ед. изм.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1120" w:type="dxa"/>
            <w:vAlign w:val="center"/>
            <w:vMerge w:val="restart"/>
            <w:textDirection w:val="lrTb"/>
            <w:noWrap w:val="false"/>
          </w:tcPr>
          <w:p>
            <w:pPr>
              <w:pStyle w:val="655"/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Кол-во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2381" w:type="dxa"/>
            <w:vAlign w:val="center"/>
            <w:vMerge w:val="restart"/>
            <w:textDirection w:val="lrTb"/>
            <w:noWrap w:val="false"/>
          </w:tcPr>
          <w:p>
            <w:pPr>
              <w:pStyle w:val="655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Стоимость (руб.)</w:t>
            </w:r>
            <w:r/>
          </w:p>
        </w:tc>
      </w:tr>
      <w:tr>
        <w:trPr>
          <w:trHeight w:val="114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655"/>
              <w:rPr>
                <w:rFonts w:ascii="Times New Roman" w:hAnsi="Times New Roman" w:eastAsia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color w:val="000000"/>
                <w:sz w:val="24"/>
                <w:szCs w:val="24"/>
                <w:lang w:eastAsia="ru-RU"/>
              </w:rPr>
              <w:t xml:space="preserve">1.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5020" w:type="dxa"/>
            <w:vAlign w:val="center"/>
            <w:textDirection w:val="lrTb"/>
            <w:noWrap w:val="false"/>
          </w:tcPr>
          <w:p>
            <w:pPr>
              <w:pStyle w:val="65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Р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емонт фасада учебного корпуса СОГБПОУ «Верхнеднепровский технологический техникум», расположенного по адресу: пгт. Верхнеднепровский, ул. Молодежная, д.5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657" w:type="dxa"/>
            <w:vAlign w:val="center"/>
            <w:textDirection w:val="lrTb"/>
            <w:noWrap w:val="false"/>
          </w:tcPr>
          <w:p>
            <w:pPr>
              <w:pStyle w:val="655"/>
              <w:rPr>
                <w:rFonts w:ascii="Times New Roman" w:hAnsi="Times New Roman" w:eastAsia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Локально-сметный расчет</w:t>
            </w:r>
            <w:r>
              <w:rPr>
                <w:rFonts w:ascii="Times New Roman" w:hAnsi="Times New Roman" w:eastAsia="Times New Roman"/>
                <w:bCs/>
                <w:color w:val="000000"/>
                <w:sz w:val="24"/>
                <w:szCs w:val="24"/>
                <w:lang w:eastAsia="ru-RU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pStyle w:val="655"/>
              <w:rPr>
                <w:rFonts w:ascii="Times New Roman" w:hAnsi="Times New Roman" w:eastAsia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165 533,38</w:t>
            </w:r>
            <w:r>
              <w:rPr>
                <w:rFonts w:ascii="Times New Roman" w:hAnsi="Times New Roman" w:eastAsia="Times New Roman"/>
                <w:bCs/>
                <w:color w:val="000000"/>
                <w:sz w:val="24"/>
                <w:szCs w:val="24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00" w:type="dxa"/>
            <w:vAlign w:val="center"/>
            <w:textDirection w:val="lrTb"/>
            <w:noWrap w:val="false"/>
          </w:tcPr>
          <w:p>
            <w:pPr>
              <w:pStyle w:val="655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условная единица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20" w:type="dxa"/>
            <w:vAlign w:val="center"/>
            <w:textDirection w:val="lrTb"/>
            <w:noWrap w:val="false"/>
          </w:tcPr>
          <w:p>
            <w:pPr>
              <w:pStyle w:val="655"/>
              <w:rPr>
                <w:rFonts w:ascii="Times New Roman" w:hAnsi="Times New Roman" w:eastAsia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color w:val="000000"/>
                <w:sz w:val="24"/>
                <w:szCs w:val="24"/>
                <w:lang w:eastAsia="ru-RU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right w:val="single" w:color="000000" w:sz="4" w:space="0"/>
            </w:tcBorders>
            <w:tcW w:w="2381" w:type="dxa"/>
            <w:vAlign w:val="center"/>
            <w:textDirection w:val="lrTb"/>
            <w:noWrap w:val="false"/>
          </w:tcPr>
          <w:p>
            <w:pPr>
              <w:pStyle w:val="655"/>
              <w:rPr>
                <w:rFonts w:ascii="Times New Roman" w:hAnsi="Times New Roman" w:eastAsia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9 165 533,38</w:t>
            </w:r>
            <w:r>
              <w:rPr>
                <w:rFonts w:ascii="Times New Roman" w:hAnsi="Times New Roman" w:eastAsia="Times New Roman"/>
                <w:bCs/>
                <w:color w:val="000000"/>
                <w:sz w:val="24"/>
                <w:szCs w:val="24"/>
                <w:lang w:eastAsia="ru-RU"/>
              </w:rPr>
            </w:r>
            <w:r/>
          </w:p>
        </w:tc>
      </w:tr>
      <w:tr>
        <w:trPr>
          <w:trHeight w:val="81"/>
        </w:trPr>
        <w:tc>
          <w:tcPr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60" w:type="dxa"/>
            <w:vAlign w:val="bottom"/>
            <w:textDirection w:val="lrTb"/>
            <w:noWrap w:val="false"/>
          </w:tcPr>
          <w:p>
            <w:pPr>
              <w:pStyle w:val="655"/>
              <w:jc w:val="right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НМЦК: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381" w:type="dxa"/>
            <w:vAlign w:val="top"/>
            <w:textDirection w:val="lrTb"/>
            <w:noWrap w:val="false"/>
          </w:tcPr>
          <w:p>
            <w:pPr>
              <w:pStyle w:val="655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9 165 533,38</w:t>
            </w:r>
            <w:r>
              <w:rPr>
                <w:rFonts w:ascii="Times New Roman" w:hAnsi="Times New Roman"/>
                <w:b/>
                <w:color w:val="000000"/>
              </w:rPr>
            </w:r>
            <w:r/>
          </w:p>
        </w:tc>
      </w:tr>
    </w:tbl>
    <w:p>
      <w:pPr>
        <w:pStyle w:val="655"/>
        <w:rPr>
          <w:lang w:eastAsia="ru-RU"/>
        </w:rPr>
      </w:pPr>
      <w:r>
        <w:rPr>
          <w:lang w:eastAsia="ru-RU"/>
        </w:rPr>
      </w:r>
      <w:r/>
    </w:p>
    <w:p>
      <w:pPr>
        <w:pStyle w:val="655"/>
        <w:jc w:val="left"/>
        <w:tabs>
          <w:tab w:val="left" w:pos="960" w:leader="none"/>
          <w:tab w:val="center" w:pos="7513" w:leader="none"/>
        </w:tabs>
        <w:rPr>
          <w:lang w:eastAsia="ru-RU"/>
        </w:rPr>
      </w:pPr>
      <w:r>
        <w:rPr>
          <w:lang w:eastAsia="ru-RU"/>
        </w:rPr>
      </w:r>
      <w:r/>
    </w:p>
    <w:p>
      <w:pPr>
        <w:pStyle w:val="655"/>
        <w:jc w:val="left"/>
        <w:tabs>
          <w:tab w:val="left" w:pos="960" w:leader="none"/>
          <w:tab w:val="center" w:pos="7513" w:leader="none"/>
        </w:tabs>
        <w:rPr>
          <w:lang w:eastAsia="ru-RU"/>
        </w:rPr>
      </w:pPr>
      <w:r>
        <w:rPr>
          <w:lang w:eastAsia="ru-RU"/>
        </w:rPr>
      </w:r>
      <w:r/>
    </w:p>
    <w:p>
      <w:pPr>
        <w:pStyle w:val="655"/>
        <w:jc w:val="left"/>
        <w:tabs>
          <w:tab w:val="left" w:pos="960" w:leader="none"/>
          <w:tab w:val="center" w:pos="7513" w:leader="none"/>
        </w:tabs>
        <w:rPr>
          <w:lang w:eastAsia="ru-RU"/>
        </w:rPr>
      </w:pPr>
      <w:r>
        <w:rPr>
          <w:lang w:eastAsia="ru-RU"/>
        </w:rPr>
      </w:r>
      <w:r/>
    </w:p>
    <w:p>
      <w:pPr>
        <w:pStyle w:val="655"/>
        <w:jc w:val="left"/>
        <w:tabs>
          <w:tab w:val="left" w:pos="960" w:leader="none"/>
          <w:tab w:val="center" w:pos="7513" w:leader="none"/>
        </w:tabs>
        <w:rPr>
          <w:lang w:eastAsia="ru-RU"/>
        </w:rPr>
      </w:pPr>
      <w:r>
        <w:rPr>
          <w:lang w:eastAsia="ru-RU"/>
        </w:rPr>
      </w:r>
      <w:r/>
    </w:p>
    <w:p>
      <w:pPr>
        <w:pStyle w:val="655"/>
        <w:jc w:val="left"/>
        <w:tabs>
          <w:tab w:val="left" w:pos="960" w:leader="none"/>
          <w:tab w:val="center" w:pos="7513" w:leader="none"/>
        </w:tabs>
        <w:rPr>
          <w:lang w:eastAsia="ru-RU"/>
        </w:rPr>
      </w:pPr>
      <w:r>
        <w:rPr>
          <w:lang w:eastAsia="ru-RU"/>
        </w:rPr>
        <w:tab/>
      </w:r>
      <w:r/>
    </w:p>
    <w:sectPr>
      <w:footnotePr/>
      <w:endnotePr/>
      <w:type w:val="nextPage"/>
      <w:pgSz w:w="16838" w:h="11906" w:orient="landscape"/>
      <w:pgMar w:top="284" w:right="678" w:bottom="426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pStyle w:val="655"/>
        <w:ind w:left="420" w:hanging="420"/>
        <w:tabs>
          <w:tab w:val="num" w:pos="42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pStyle w:val="655"/>
        <w:ind w:left="1490" w:hanging="720"/>
        <w:tabs>
          <w:tab w:val="num" w:pos="149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55"/>
        <w:ind w:left="2260" w:hanging="720"/>
        <w:tabs>
          <w:tab w:val="num" w:pos="226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55"/>
        <w:ind w:left="3390" w:hanging="1080"/>
        <w:tabs>
          <w:tab w:val="num" w:pos="339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55"/>
        <w:ind w:left="4160" w:hanging="1080"/>
        <w:tabs>
          <w:tab w:val="num" w:pos="416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55"/>
        <w:ind w:left="5290" w:hanging="1440"/>
        <w:tabs>
          <w:tab w:val="num" w:pos="529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55"/>
        <w:ind w:left="6420" w:hanging="1800"/>
        <w:tabs>
          <w:tab w:val="num" w:pos="642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55"/>
        <w:ind w:left="7190" w:hanging="1800"/>
        <w:tabs>
          <w:tab w:val="num" w:pos="719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55"/>
        <w:ind w:left="8320" w:hanging="2160"/>
        <w:tabs>
          <w:tab w:val="num" w:pos="832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55"/>
        <w:ind w:left="90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655"/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655"/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655"/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655"/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655"/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655"/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655"/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655"/>
        <w:ind w:left="6660" w:hanging="180"/>
      </w:pPr>
    </w:lvl>
  </w:abstractNum>
  <w:abstractNum w:abstractNumId="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pStyle w:val="655"/>
        <w:ind w:left="600" w:hanging="600"/>
      </w:pPr>
    </w:lvl>
    <w:lvl w:ilvl="1">
      <w:start w:val="11"/>
      <w:numFmt w:val="decimal"/>
      <w:isLgl w:val="false"/>
      <w:suff w:val="tab"/>
      <w:lvlText w:val="%1.%2."/>
      <w:lvlJc w:val="left"/>
      <w:pPr>
        <w:pStyle w:val="655"/>
        <w:ind w:left="149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55"/>
        <w:ind w:left="226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55"/>
        <w:ind w:left="339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55"/>
        <w:ind w:left="416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55"/>
        <w:ind w:left="529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55"/>
        <w:ind w:left="6420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55"/>
        <w:ind w:left="719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55"/>
        <w:ind w:left="8320" w:hanging="216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55"/>
        <w:ind w:left="720" w:hanging="360"/>
      </w:pPr>
      <w:rPr>
        <w:rFonts w:ascii="Times New Roman" w:hAnsi="Times New Roman" w:cs="Times New Roman"/>
        <w:b/>
        <w:sz w:val="28"/>
        <w:szCs w:val="28"/>
      </w:rPr>
    </w:lvl>
    <w:lvl w:ilvl="1">
      <w:start w:val="1"/>
      <w:numFmt w:val="decimal"/>
      <w:isLgl w:val="false"/>
      <w:suff w:val="tab"/>
      <w:lvlText w:val="%1.%2."/>
      <w:lvlJc w:val="left"/>
      <w:pPr>
        <w:pStyle w:val="655"/>
        <w:ind w:left="1287" w:hanging="720"/>
      </w:pPr>
      <w:rPr>
        <w:b w:val="0"/>
        <w:sz w:val="26"/>
        <w:szCs w:val="26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655"/>
        <w:ind w:left="1494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55"/>
        <w:ind w:left="2061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55"/>
        <w:ind w:left="2268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55"/>
        <w:ind w:left="2835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55"/>
        <w:ind w:left="3402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55"/>
        <w:ind w:left="3609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55"/>
        <w:ind w:left="4176" w:hanging="2160"/>
      </w:pPr>
    </w:lvl>
  </w:abstractNum>
  <w:abstractNum w:abstractNumId="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pStyle w:val="655"/>
        <w:ind w:left="585" w:hanging="585"/>
      </w:pPr>
      <w:rPr>
        <w:rFonts w:ascii="Times New Roman" w:hAnsi="Times New Roman" w:cs="Times New Roman"/>
        <w:b/>
        <w:sz w:val="28"/>
        <w:szCs w:val="28"/>
      </w:rPr>
    </w:lvl>
    <w:lvl w:ilvl="1">
      <w:start w:val="1"/>
      <w:numFmt w:val="bullet"/>
      <w:isLgl w:val="false"/>
      <w:suff w:val="tab"/>
      <w:lvlText w:val=""/>
      <w:lvlJc w:val="left"/>
      <w:pPr>
        <w:pStyle w:val="655"/>
        <w:ind w:left="720" w:hanging="720"/>
      </w:pPr>
      <w:rPr>
        <w:rFonts w:ascii="Wingdings" w:hAnsi="Wingdings"/>
        <w:b w:val="0"/>
        <w:sz w:val="26"/>
        <w:szCs w:val="26"/>
      </w:rPr>
    </w:lvl>
    <w:lvl w:ilvl="2">
      <w:start w:val="2"/>
      <w:numFmt w:val="decimal"/>
      <w:isLgl w:val="false"/>
      <w:suff w:val="tab"/>
      <w:lvlText w:val="%1.%2.%3."/>
      <w:lvlJc w:val="left"/>
      <w:pPr>
        <w:pStyle w:val="655"/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55"/>
        <w:ind w:left="108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55"/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55"/>
        <w:ind w:left="144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55"/>
        <w:ind w:left="144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55"/>
        <w:ind w:left="180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55"/>
        <w:ind w:left="1800" w:hanging="180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55"/>
        <w:ind w:left="72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pStyle w:val="655"/>
        <w:ind w:left="1571" w:hanging="720"/>
      </w:pPr>
      <w:rPr>
        <w:b w:val="0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655"/>
        <w:ind w:left="1494" w:hanging="720"/>
      </w:pPr>
      <w:rPr>
        <w:rFonts w:ascii="Times New Roman" w:hAnsi="Times New Roman" w:cs="Times New Roman"/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655"/>
        <w:ind w:left="2061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55"/>
        <w:ind w:left="2268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55"/>
        <w:ind w:left="2835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55"/>
        <w:ind w:left="3402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55"/>
        <w:ind w:left="3609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55"/>
        <w:ind w:left="4176" w:hanging="2160"/>
      </w:pPr>
    </w:lvl>
  </w:abstractNum>
  <w:abstractNum w:abstractNumId="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pStyle w:val="655"/>
        <w:ind w:left="675" w:hanging="675"/>
      </w:pPr>
    </w:lvl>
    <w:lvl w:ilvl="1">
      <w:start w:val="2"/>
      <w:numFmt w:val="decimal"/>
      <w:isLgl w:val="false"/>
      <w:suff w:val="tab"/>
      <w:lvlText w:val="%1.%2."/>
      <w:lvlJc w:val="left"/>
      <w:pPr>
        <w:pStyle w:val="655"/>
        <w:ind w:left="1107" w:hanging="720"/>
      </w:pPr>
    </w:lvl>
    <w:lvl w:ilvl="2">
      <w:start w:val="7"/>
      <w:numFmt w:val="decimal"/>
      <w:isLgl w:val="false"/>
      <w:suff w:val="tab"/>
      <w:lvlText w:val="%1.%2.%3."/>
      <w:lvlJc w:val="left"/>
      <w:pPr>
        <w:pStyle w:val="655"/>
        <w:ind w:left="1494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55"/>
        <w:ind w:left="2241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55"/>
        <w:ind w:left="2628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55"/>
        <w:ind w:left="3375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55"/>
        <w:ind w:left="4122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55"/>
        <w:ind w:left="4509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55"/>
        <w:ind w:left="5256" w:hanging="2160"/>
      </w:pPr>
    </w:lvl>
  </w:abstractNum>
  <w:abstractNum w:abstractNumId="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pStyle w:val="655"/>
        <w:ind w:left="555" w:hanging="555"/>
        <w:tabs>
          <w:tab w:val="num" w:pos="555" w:leader="none"/>
        </w:tabs>
      </w:pPr>
    </w:lvl>
    <w:lvl w:ilvl="1">
      <w:start w:val="12"/>
      <w:numFmt w:val="decimal"/>
      <w:isLgl w:val="false"/>
      <w:suff w:val="tab"/>
      <w:lvlText w:val="%1.%2."/>
      <w:lvlJc w:val="left"/>
      <w:pPr>
        <w:pStyle w:val="655"/>
        <w:ind w:left="1490" w:hanging="720"/>
        <w:tabs>
          <w:tab w:val="num" w:pos="149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55"/>
        <w:ind w:left="1494" w:hanging="720"/>
        <w:tabs>
          <w:tab w:val="num" w:pos="1494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55"/>
        <w:ind w:left="2241" w:hanging="1080"/>
        <w:tabs>
          <w:tab w:val="num" w:pos="2241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55"/>
        <w:ind w:left="2628" w:hanging="1080"/>
        <w:tabs>
          <w:tab w:val="num" w:pos="2628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55"/>
        <w:ind w:left="3375" w:hanging="1440"/>
        <w:tabs>
          <w:tab w:val="num" w:pos="3375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55"/>
        <w:ind w:left="4122" w:hanging="1800"/>
        <w:tabs>
          <w:tab w:val="num" w:pos="4122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55"/>
        <w:ind w:left="4509" w:hanging="1800"/>
        <w:tabs>
          <w:tab w:val="num" w:pos="4509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55"/>
        <w:ind w:left="5256" w:hanging="2160"/>
        <w:tabs>
          <w:tab w:val="num" w:pos="5256" w:leader="none"/>
        </w:tabs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-"/>
      <w:lvlJc w:val="left"/>
      <w:pPr>
        <w:pStyle w:val="655"/>
        <w:ind w:left="1260" w:hanging="360"/>
      </w:pPr>
      <w:rPr>
        <w:rFonts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655"/>
        <w:ind w:left="198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55"/>
        <w:ind w:left="270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55"/>
        <w:ind w:left="342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55"/>
        <w:ind w:left="414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55"/>
        <w:ind w:left="486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55"/>
        <w:ind w:left="558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55"/>
        <w:ind w:left="630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55"/>
        <w:ind w:left="7020" w:hanging="360"/>
      </w:pPr>
      <w:rPr>
        <w:rFonts w:ascii="Wingdings" w:hAnsi="Wingdings"/>
      </w:rPr>
    </w:lvl>
  </w:abstractNum>
  <w:abstractNum w:abstractNumId="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pStyle w:val="655"/>
        <w:ind w:left="630" w:hanging="630"/>
        <w:tabs>
          <w:tab w:val="num" w:pos="63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pStyle w:val="655"/>
        <w:ind w:left="1107" w:hanging="720"/>
        <w:tabs>
          <w:tab w:val="num" w:pos="1107" w:leader="none"/>
        </w:tabs>
      </w:pPr>
    </w:lvl>
    <w:lvl w:ilvl="2">
      <w:start w:val="5"/>
      <w:numFmt w:val="decimal"/>
      <w:isLgl w:val="false"/>
      <w:suff w:val="tab"/>
      <w:lvlText w:val="%1.%2.%3."/>
      <w:lvlJc w:val="left"/>
      <w:pPr>
        <w:pStyle w:val="655"/>
        <w:ind w:left="1494" w:hanging="720"/>
        <w:tabs>
          <w:tab w:val="num" w:pos="1494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55"/>
        <w:ind w:left="2241" w:hanging="1080"/>
        <w:tabs>
          <w:tab w:val="num" w:pos="2241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55"/>
        <w:ind w:left="2628" w:hanging="1080"/>
        <w:tabs>
          <w:tab w:val="num" w:pos="2628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55"/>
        <w:ind w:left="3375" w:hanging="1440"/>
        <w:tabs>
          <w:tab w:val="num" w:pos="3375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55"/>
        <w:ind w:left="4122" w:hanging="1800"/>
        <w:tabs>
          <w:tab w:val="num" w:pos="4122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55"/>
        <w:ind w:left="4509" w:hanging="1800"/>
        <w:tabs>
          <w:tab w:val="num" w:pos="4509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55"/>
        <w:ind w:left="5256" w:hanging="2160"/>
        <w:tabs>
          <w:tab w:val="num" w:pos="5256" w:leader="none"/>
        </w:tabs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pStyle w:val="655"/>
        <w:ind w:left="720" w:hanging="360"/>
        <w:tabs>
          <w:tab w:val="num" w:pos="72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655"/>
        <w:ind w:left="1800" w:hanging="360"/>
        <w:tabs>
          <w:tab w:val="num" w:pos="180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55"/>
        <w:ind w:left="2520" w:hanging="360"/>
        <w:tabs>
          <w:tab w:val="num" w:pos="252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55"/>
        <w:ind w:left="3240" w:hanging="360"/>
        <w:tabs>
          <w:tab w:val="num" w:pos="324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55"/>
        <w:ind w:left="3960" w:hanging="360"/>
        <w:tabs>
          <w:tab w:val="num" w:pos="396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55"/>
        <w:ind w:left="4680" w:hanging="360"/>
        <w:tabs>
          <w:tab w:val="num" w:pos="468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55"/>
        <w:ind w:left="5400" w:hanging="360"/>
        <w:tabs>
          <w:tab w:val="num" w:pos="540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55"/>
        <w:ind w:left="6120" w:hanging="360"/>
        <w:tabs>
          <w:tab w:val="num" w:pos="612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55"/>
        <w:ind w:left="6840" w:hanging="360"/>
        <w:tabs>
          <w:tab w:val="num" w:pos="6840" w:leader="none"/>
        </w:tabs>
      </w:pPr>
      <w:rPr>
        <w:rFonts w:ascii="Wingdings" w:hAnsi="Wingdings"/>
      </w:rPr>
    </w:lvl>
  </w:abstractNum>
  <w:abstractNum w:abstractNumId="1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pStyle w:val="655"/>
        <w:ind w:left="585" w:hanging="585"/>
      </w:pPr>
      <w:rPr>
        <w:rFonts w:ascii="Times New Roman" w:hAnsi="Times New Roman" w:cs="Times New Roman"/>
        <w:b/>
        <w:sz w:val="28"/>
        <w:szCs w:val="28"/>
      </w:rPr>
    </w:lvl>
    <w:lvl w:ilvl="1">
      <w:start w:val="1"/>
      <w:numFmt w:val="bullet"/>
      <w:isLgl w:val="false"/>
      <w:suff w:val="tab"/>
      <w:lvlText w:val=""/>
      <w:lvlJc w:val="left"/>
      <w:pPr>
        <w:pStyle w:val="655"/>
        <w:ind w:left="720" w:hanging="720"/>
      </w:pPr>
      <w:rPr>
        <w:rFonts w:ascii="Symbol" w:hAnsi="Symbol"/>
        <w:b w:val="0"/>
        <w:sz w:val="26"/>
        <w:szCs w:val="26"/>
      </w:rPr>
    </w:lvl>
    <w:lvl w:ilvl="2">
      <w:start w:val="2"/>
      <w:numFmt w:val="decimal"/>
      <w:isLgl w:val="false"/>
      <w:suff w:val="tab"/>
      <w:lvlText w:val="%1.%2.%3."/>
      <w:lvlJc w:val="left"/>
      <w:pPr>
        <w:pStyle w:val="655"/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55"/>
        <w:ind w:left="108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55"/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55"/>
        <w:ind w:left="144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55"/>
        <w:ind w:left="144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55"/>
        <w:ind w:left="180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55"/>
        <w:ind w:left="1800" w:hanging="180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-"/>
      <w:lvlJc w:val="left"/>
      <w:pPr>
        <w:pStyle w:val="655"/>
        <w:ind w:left="720" w:hanging="360"/>
      </w:pPr>
      <w:rPr>
        <w:rFonts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pStyle w:val="655"/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55"/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55"/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55"/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55"/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55"/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55"/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55"/>
        <w:ind w:left="6480" w:hanging="360"/>
      </w:pPr>
      <w:rPr>
        <w:rFonts w:ascii="Wingdings" w:hAnsi="Wingdings"/>
      </w:rPr>
    </w:lvl>
  </w:abstractNum>
  <w:abstractNum w:abstractNumId="13">
    <w:multiLevelType w:val="hybridMultilevel"/>
    <w:lvl w:ilvl="0">
      <w:start w:val="49"/>
      <w:numFmt w:val="bullet"/>
      <w:isLgl w:val="false"/>
      <w:suff w:val="tab"/>
      <w:lvlText w:val=""/>
      <w:lvlJc w:val="left"/>
      <w:pPr>
        <w:pStyle w:val="655"/>
        <w:ind w:left="720" w:hanging="360"/>
      </w:pPr>
      <w:rPr>
        <w:rFonts w:ascii="Symbol" w:hAnsi="Symbol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655"/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55"/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55"/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55"/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55"/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55"/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55"/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55"/>
        <w:ind w:left="6480" w:hanging="360"/>
      </w:pPr>
      <w:rPr>
        <w:rFonts w:ascii="Wingdings" w:hAnsi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-"/>
      <w:lvlJc w:val="left"/>
      <w:pPr>
        <w:pStyle w:val="655"/>
        <w:ind w:left="720" w:hanging="360"/>
      </w:pPr>
      <w:rPr>
        <w:rFonts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pStyle w:val="655"/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55"/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55"/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55"/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55"/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55"/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55"/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55"/>
        <w:ind w:left="6480" w:hanging="360"/>
      </w:pPr>
      <w:rPr>
        <w:rFonts w:ascii="Wingdings" w:hAnsi="Wingdings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55"/>
        <w:ind w:left="72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pStyle w:val="655"/>
        <w:ind w:left="1571" w:hanging="720"/>
      </w:pPr>
      <w:rPr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655"/>
        <w:ind w:left="1494" w:hanging="720"/>
      </w:pPr>
      <w:rPr>
        <w:rFonts w:ascii="Times New Roman" w:hAnsi="Times New Roman"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655"/>
        <w:ind w:left="2061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55"/>
        <w:ind w:left="2268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55"/>
        <w:ind w:left="2835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55"/>
        <w:ind w:left="3402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55"/>
        <w:ind w:left="3609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55"/>
        <w:ind w:left="4176" w:hanging="216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55"/>
        <w:ind w:left="72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pStyle w:val="655"/>
        <w:ind w:left="1571" w:hanging="720"/>
      </w:pPr>
      <w:rPr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655"/>
        <w:ind w:left="1494" w:hanging="720"/>
      </w:pPr>
      <w:rPr>
        <w:rFonts w:ascii="Times New Roman" w:hAnsi="Times New Roman"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655"/>
        <w:ind w:left="2061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55"/>
        <w:ind w:left="2268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55"/>
        <w:ind w:left="2835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55"/>
        <w:ind w:left="3402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55"/>
        <w:ind w:left="3609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55"/>
        <w:ind w:left="4176" w:hanging="2160"/>
      </w:pPr>
    </w:lvl>
  </w:abstractNum>
  <w:abstractNum w:abstractNumId="17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pStyle w:val="655"/>
        <w:ind w:left="420" w:hanging="420"/>
        <w:tabs>
          <w:tab w:val="num" w:pos="42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pStyle w:val="655"/>
        <w:ind w:left="1490" w:hanging="720"/>
        <w:tabs>
          <w:tab w:val="num" w:pos="149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55"/>
        <w:ind w:left="2260" w:hanging="720"/>
        <w:tabs>
          <w:tab w:val="num" w:pos="226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55"/>
        <w:ind w:left="3390" w:hanging="1080"/>
        <w:tabs>
          <w:tab w:val="num" w:pos="339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55"/>
        <w:ind w:left="4160" w:hanging="1080"/>
        <w:tabs>
          <w:tab w:val="num" w:pos="416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55"/>
        <w:ind w:left="5290" w:hanging="1440"/>
        <w:tabs>
          <w:tab w:val="num" w:pos="529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55"/>
        <w:ind w:left="6420" w:hanging="1800"/>
        <w:tabs>
          <w:tab w:val="num" w:pos="642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55"/>
        <w:ind w:left="7190" w:hanging="1800"/>
        <w:tabs>
          <w:tab w:val="num" w:pos="719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55"/>
        <w:ind w:left="8320" w:hanging="2160"/>
        <w:tabs>
          <w:tab w:val="num" w:pos="8320" w:leader="none"/>
        </w:tabs>
      </w:pPr>
    </w:lvl>
  </w:abstractNum>
  <w:abstractNum w:abstractNumId="18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pStyle w:val="655"/>
        <w:ind w:left="585" w:hanging="585"/>
      </w:pPr>
      <w:rPr>
        <w:rFonts w:ascii="Times New Roman" w:hAnsi="Times New Roman" w:cs="Times New Roman"/>
        <w:b/>
        <w:sz w:val="28"/>
        <w:szCs w:val="28"/>
      </w:rPr>
    </w:lvl>
    <w:lvl w:ilvl="1">
      <w:start w:val="1"/>
      <w:numFmt w:val="decimal"/>
      <w:isLgl w:val="false"/>
      <w:suff w:val="tab"/>
      <w:lvlText w:val="%1.%2."/>
      <w:lvlJc w:val="left"/>
      <w:pPr>
        <w:pStyle w:val="655"/>
        <w:ind w:left="720" w:hanging="720"/>
      </w:pPr>
      <w:rPr>
        <w:rFonts w:ascii="Times New Roman" w:hAnsi="Times New Roman" w:cs="Times New Roman"/>
        <w:b w:val="0"/>
        <w:sz w:val="26"/>
        <w:szCs w:val="26"/>
      </w:rPr>
    </w:lvl>
    <w:lvl w:ilvl="2">
      <w:start w:val="2"/>
      <w:numFmt w:val="decimal"/>
      <w:isLgl w:val="false"/>
      <w:suff w:val="tab"/>
      <w:lvlText w:val="%1.%2.%3."/>
      <w:lvlJc w:val="left"/>
      <w:pPr>
        <w:pStyle w:val="655"/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55"/>
        <w:ind w:left="108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55"/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55"/>
        <w:ind w:left="144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55"/>
        <w:ind w:left="144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55"/>
        <w:ind w:left="180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55"/>
        <w:ind w:left="1800" w:hanging="180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55"/>
        <w:ind w:left="90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655"/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655"/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655"/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655"/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655"/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655"/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655"/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655"/>
        <w:ind w:left="666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655"/>
        <w:ind w:left="1755" w:hanging="1035"/>
      </w:pPr>
    </w:lvl>
    <w:lvl w:ilvl="1">
      <w:start w:val="1"/>
      <w:numFmt w:val="lowerLetter"/>
      <w:isLgl w:val="false"/>
      <w:suff w:val="tab"/>
      <w:lvlText w:val="%2."/>
      <w:lvlJc w:val="left"/>
      <w:pPr>
        <w:pStyle w:val="655"/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655"/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655"/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655"/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655"/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655"/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655"/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655"/>
        <w:ind w:left="6840" w:hanging="180"/>
      </w:pPr>
    </w:lvl>
  </w:abstractNum>
  <w:abstractNum w:abstractNumId="21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pStyle w:val="655"/>
        <w:ind w:left="450" w:hanging="450"/>
      </w:pPr>
    </w:lvl>
    <w:lvl w:ilvl="1">
      <w:start w:val="3"/>
      <w:numFmt w:val="decimal"/>
      <w:isLgl w:val="false"/>
      <w:suff w:val="tab"/>
      <w:lvlText w:val="%1.%2."/>
      <w:lvlJc w:val="left"/>
      <w:pPr>
        <w:pStyle w:val="655"/>
        <w:ind w:left="1571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55"/>
        <w:ind w:left="2422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55"/>
        <w:ind w:left="3633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55"/>
        <w:ind w:left="4484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55"/>
        <w:ind w:left="5695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55"/>
        <w:ind w:left="6906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55"/>
        <w:ind w:left="7757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55"/>
        <w:ind w:left="8968" w:hanging="216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55"/>
        <w:ind w:left="90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655"/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655"/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655"/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655"/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655"/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655"/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655"/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655"/>
        <w:ind w:left="666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55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655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655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655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655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655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655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655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655"/>
        <w:ind w:left="6480" w:hanging="180"/>
      </w:pPr>
    </w:lvl>
  </w:abstractNum>
  <w:abstractNum w:abstractNumId="24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pStyle w:val="655"/>
        <w:ind w:left="450" w:hanging="450"/>
      </w:pPr>
    </w:lvl>
    <w:lvl w:ilvl="1">
      <w:start w:val="1"/>
      <w:numFmt w:val="decimal"/>
      <w:isLgl w:val="false"/>
      <w:suff w:val="tab"/>
      <w:lvlText w:val="%1.%2."/>
      <w:lvlJc w:val="left"/>
      <w:pPr>
        <w:pStyle w:val="655"/>
        <w:ind w:left="160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55"/>
        <w:ind w:left="2422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55"/>
        <w:ind w:left="3633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55"/>
        <w:ind w:left="4484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55"/>
        <w:ind w:left="5695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55"/>
        <w:ind w:left="6906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55"/>
        <w:ind w:left="7757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55"/>
        <w:ind w:left="8968" w:hanging="216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55"/>
        <w:ind w:left="72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pStyle w:val="655"/>
        <w:ind w:left="1571" w:hanging="720"/>
      </w:pPr>
      <w:rPr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655"/>
        <w:ind w:left="1494" w:hanging="720"/>
      </w:pPr>
      <w:rPr>
        <w:rFonts w:ascii="Times New Roman" w:hAnsi="Times New Roman"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655"/>
        <w:ind w:left="2061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55"/>
        <w:ind w:left="2268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55"/>
        <w:ind w:left="2835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55"/>
        <w:ind w:left="3402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55"/>
        <w:ind w:left="3609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55"/>
        <w:ind w:left="4176" w:hanging="2160"/>
      </w:pPr>
    </w:lvl>
  </w:abstractNum>
  <w:abstractNum w:abstractNumId="26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pStyle w:val="655"/>
        <w:ind w:left="420" w:hanging="420"/>
        <w:tabs>
          <w:tab w:val="num" w:pos="420" w:leader="none"/>
        </w:tabs>
      </w:pPr>
    </w:lvl>
    <w:lvl w:ilvl="1">
      <w:start w:val="3"/>
      <w:numFmt w:val="decimal"/>
      <w:isLgl w:val="false"/>
      <w:suff w:val="tab"/>
      <w:lvlText w:val="%1.%2."/>
      <w:lvlJc w:val="left"/>
      <w:pPr>
        <w:pStyle w:val="655"/>
        <w:ind w:left="1490" w:hanging="720"/>
        <w:tabs>
          <w:tab w:val="num" w:pos="149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55"/>
        <w:ind w:left="2260" w:hanging="720"/>
        <w:tabs>
          <w:tab w:val="num" w:pos="226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55"/>
        <w:ind w:left="3390" w:hanging="1080"/>
        <w:tabs>
          <w:tab w:val="num" w:pos="339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55"/>
        <w:ind w:left="4160" w:hanging="1080"/>
        <w:tabs>
          <w:tab w:val="num" w:pos="416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55"/>
        <w:ind w:left="5290" w:hanging="1440"/>
        <w:tabs>
          <w:tab w:val="num" w:pos="529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55"/>
        <w:ind w:left="6420" w:hanging="1800"/>
        <w:tabs>
          <w:tab w:val="num" w:pos="642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55"/>
        <w:ind w:left="7190" w:hanging="1800"/>
        <w:tabs>
          <w:tab w:val="num" w:pos="719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55"/>
        <w:ind w:left="8320" w:hanging="2160"/>
        <w:tabs>
          <w:tab w:val="num" w:pos="8320" w:leader="none"/>
        </w:tabs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55"/>
        <w:ind w:left="1841" w:hanging="990"/>
        <w:tabs>
          <w:tab w:val="num" w:pos="1841" w:leader="none"/>
        </w:tabs>
      </w:pPr>
      <w:rPr>
        <w:rFonts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pStyle w:val="655"/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55"/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55"/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655"/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55"/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55"/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655"/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55"/>
        <w:ind w:left="6829" w:hanging="180"/>
        <w:tabs>
          <w:tab w:val="num" w:pos="6829" w:leader="none"/>
        </w:tabs>
      </w:p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pStyle w:val="655"/>
        <w:ind w:left="786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pStyle w:val="655"/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55"/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55"/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55"/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55"/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55"/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55"/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55"/>
        <w:ind w:left="6480" w:hanging="360"/>
      </w:pPr>
      <w:rPr>
        <w:rFonts w:ascii="Wingdings" w:hAnsi="Wingdings"/>
      </w:rPr>
    </w:lvl>
  </w:abstractNum>
  <w:num w:numId="1">
    <w:abstractNumId w:val="23"/>
  </w:num>
  <w:num w:numId="2">
    <w:abstractNumId w:val="5"/>
  </w:num>
  <w:num w:numId="3">
    <w:abstractNumId w:val="27"/>
  </w:num>
  <w:num w:numId="4">
    <w:abstractNumId w:val="3"/>
  </w:num>
  <w:num w:numId="5">
    <w:abstractNumId w:val="18"/>
  </w:num>
  <w:num w:numId="6">
    <w:abstractNumId w:val="14"/>
  </w:num>
  <w:num w:numId="7">
    <w:abstractNumId w:val="15"/>
  </w:num>
  <w:num w:numId="8">
    <w:abstractNumId w:val="28"/>
  </w:num>
  <w:num w:numId="9">
    <w:abstractNumId w:val="4"/>
  </w:num>
  <w:num w:numId="10">
    <w:abstractNumId w:val="11"/>
  </w:num>
  <w:num w:numId="11">
    <w:abstractNumId w:val="16"/>
  </w:num>
  <w:num w:numId="12">
    <w:abstractNumId w:val="25"/>
  </w:num>
  <w:num w:numId="13">
    <w:abstractNumId w:val="12"/>
  </w:num>
  <w:num w:numId="14">
    <w:abstractNumId w:val="19"/>
  </w:num>
  <w:num w:numId="15">
    <w:abstractNumId w:val="8"/>
  </w:num>
  <w:num w:numId="16">
    <w:abstractNumId w:val="1"/>
  </w:num>
  <w:num w:numId="17">
    <w:abstractNumId w:val="22"/>
  </w:num>
  <w:num w:numId="18">
    <w:abstractNumId w:val="10"/>
  </w:num>
  <w:num w:numId="19">
    <w:abstractNumId w:val="24"/>
  </w:num>
  <w:num w:numId="20">
    <w:abstractNumId w:val="20"/>
  </w:num>
  <w:num w:numId="21">
    <w:abstractNumId w:val="21"/>
  </w:num>
  <w:num w:numId="22">
    <w:abstractNumId w:val="9"/>
  </w:num>
  <w:num w:numId="23">
    <w:abstractNumId w:val="7"/>
  </w:num>
  <w:num w:numId="24">
    <w:abstractNumId w:val="0"/>
  </w:num>
  <w:num w:numId="25">
    <w:abstractNumId w:val="17"/>
  </w:num>
  <w:num w:numId="26">
    <w:abstractNumId w:val="26"/>
  </w:num>
  <w:num w:numId="27">
    <w:abstractNumId w:val="2"/>
  </w:num>
  <w:num w:numId="28">
    <w:abstractNumId w:val="6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655"/>
    <w:next w:val="655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55"/>
    <w:next w:val="655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55"/>
    <w:next w:val="655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55"/>
    <w:next w:val="655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55"/>
    <w:next w:val="655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55"/>
    <w:next w:val="655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55"/>
    <w:next w:val="655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55"/>
    <w:next w:val="655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55"/>
    <w:next w:val="655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655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55"/>
    <w:next w:val="655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655"/>
    <w:next w:val="655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655"/>
    <w:next w:val="655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55"/>
    <w:next w:val="655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55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655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655"/>
    <w:next w:val="65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655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655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655"/>
    <w:next w:val="655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55"/>
    <w:next w:val="655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55"/>
    <w:next w:val="655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55"/>
    <w:next w:val="655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55"/>
    <w:next w:val="655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55"/>
    <w:next w:val="655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55"/>
    <w:next w:val="655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55"/>
    <w:next w:val="655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55"/>
    <w:next w:val="655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55"/>
    <w:next w:val="655"/>
    <w:uiPriority w:val="99"/>
    <w:unhideWhenUsed/>
    <w:pPr>
      <w:spacing w:after="0" w:afterAutospacing="0"/>
    </w:pPr>
  </w:style>
  <w:style w:type="paragraph" w:styleId="655" w:default="1">
    <w:name w:val="Normal"/>
    <w:next w:val="655"/>
    <w:link w:val="655"/>
    <w:qFormat/>
    <w:pPr>
      <w:jc w:val="center"/>
    </w:pPr>
    <w:rPr>
      <w:sz w:val="22"/>
      <w:szCs w:val="22"/>
      <w:lang w:val="ru-RU" w:eastAsia="en-US" w:bidi="ar-SA"/>
    </w:rPr>
  </w:style>
  <w:style w:type="character" w:styleId="656">
    <w:name w:val="Основной шрифт абзаца"/>
    <w:next w:val="656"/>
    <w:link w:val="655"/>
    <w:uiPriority w:val="1"/>
    <w:unhideWhenUsed/>
  </w:style>
  <w:style w:type="table" w:styleId="657">
    <w:name w:val="Обычная таблица"/>
    <w:next w:val="657"/>
    <w:link w:val="655"/>
    <w:uiPriority w:val="99"/>
    <w:semiHidden/>
    <w:unhideWhenUsed/>
    <w:qFormat/>
    <w:tblPr/>
  </w:style>
  <w:style w:type="numbering" w:styleId="658">
    <w:name w:val="Нет списка"/>
    <w:next w:val="658"/>
    <w:link w:val="655"/>
    <w:uiPriority w:val="99"/>
    <w:semiHidden/>
    <w:unhideWhenUsed/>
  </w:style>
  <w:style w:type="paragraph" w:styleId="659">
    <w:name w:val="Абзац списка"/>
    <w:basedOn w:val="655"/>
    <w:next w:val="659"/>
    <w:link w:val="655"/>
    <w:uiPriority w:val="34"/>
    <w:qFormat/>
    <w:pPr>
      <w:contextualSpacing/>
      <w:ind w:left="720"/>
    </w:pPr>
  </w:style>
  <w:style w:type="table" w:styleId="660">
    <w:name w:val="Сетка таблицы"/>
    <w:basedOn w:val="657"/>
    <w:next w:val="660"/>
    <w:link w:val="655"/>
    <w:uiPriority w:val="59"/>
    <w:tblPr/>
  </w:style>
  <w:style w:type="paragraph" w:styleId="661">
    <w:name w:val="Текст выноски"/>
    <w:basedOn w:val="655"/>
    <w:next w:val="661"/>
    <w:link w:val="662"/>
    <w:uiPriority w:val="99"/>
    <w:semiHidden/>
    <w:unhideWhenUsed/>
    <w:rPr>
      <w:rFonts w:ascii="Tahoma" w:hAnsi="Tahoma"/>
      <w:sz w:val="16"/>
      <w:szCs w:val="16"/>
      <w:lang w:val="en-US"/>
    </w:rPr>
  </w:style>
  <w:style w:type="character" w:styleId="662">
    <w:name w:val="Текст выноски Знак"/>
    <w:next w:val="662"/>
    <w:link w:val="661"/>
    <w:uiPriority w:val="99"/>
    <w:semiHidden/>
    <w:rPr>
      <w:rFonts w:ascii="Tahoma" w:hAnsi="Tahoma" w:cs="Tahoma"/>
      <w:sz w:val="16"/>
      <w:szCs w:val="16"/>
      <w:lang w:eastAsia="en-US"/>
    </w:rPr>
  </w:style>
  <w:style w:type="character" w:styleId="663">
    <w:name w:val="Font Style73"/>
    <w:next w:val="663"/>
    <w:link w:val="655"/>
    <w:uiPriority w:val="99"/>
    <w:rPr>
      <w:rFonts w:ascii="Times New Roman" w:hAnsi="Times New Roman" w:cs="Times New Roman"/>
      <w:sz w:val="26"/>
      <w:szCs w:val="26"/>
    </w:rPr>
  </w:style>
  <w:style w:type="character" w:styleId="664">
    <w:name w:val="Гиперссылка"/>
    <w:next w:val="664"/>
    <w:link w:val="655"/>
    <w:uiPriority w:val="99"/>
    <w:rPr>
      <w:rFonts w:cs="Times New Roman"/>
      <w:color w:val="0000ff"/>
      <w:u w:val="single"/>
    </w:rPr>
  </w:style>
  <w:style w:type="paragraph" w:styleId="665">
    <w:name w:val="ConsPlusNonformat"/>
    <w:next w:val="665"/>
    <w:link w:val="655"/>
    <w:pPr>
      <w:widowControl w:val="off"/>
    </w:pPr>
    <w:rPr>
      <w:rFonts w:ascii="Courier New" w:hAnsi="Courier New" w:cs="Courier New"/>
      <w:lang w:val="ru-RU" w:eastAsia="ru-RU" w:bidi="ar-SA"/>
    </w:rPr>
  </w:style>
  <w:style w:type="paragraph" w:styleId="666">
    <w:name w:val="Текст сноски"/>
    <w:basedOn w:val="655"/>
    <w:next w:val="666"/>
    <w:link w:val="667"/>
    <w:uiPriority w:val="99"/>
    <w:unhideWhenUsed/>
    <w:pPr>
      <w:jc w:val="left"/>
    </w:pPr>
    <w:rPr>
      <w:rFonts w:eastAsia="Times New Roman"/>
      <w:sz w:val="20"/>
      <w:szCs w:val="20"/>
      <w:lang w:val="en-US" w:eastAsia="en-US"/>
    </w:rPr>
  </w:style>
  <w:style w:type="character" w:styleId="667">
    <w:name w:val="Текст сноски Знак"/>
    <w:next w:val="667"/>
    <w:link w:val="666"/>
    <w:uiPriority w:val="99"/>
    <w:rPr>
      <w:rFonts w:eastAsia="Times New Roman"/>
    </w:rPr>
  </w:style>
  <w:style w:type="character" w:styleId="668">
    <w:name w:val="Знак сноски"/>
    <w:next w:val="668"/>
    <w:link w:val="655"/>
    <w:uiPriority w:val="99"/>
    <w:semiHidden/>
    <w:unhideWhenUsed/>
    <w:rPr>
      <w:vertAlign w:val="superscript"/>
    </w:rPr>
  </w:style>
  <w:style w:type="paragraph" w:styleId="669">
    <w:name w:val="Основной текст"/>
    <w:basedOn w:val="655"/>
    <w:next w:val="669"/>
    <w:link w:val="670"/>
    <w:uiPriority w:val="99"/>
    <w:pPr>
      <w:jc w:val="left"/>
      <w:spacing w:after="120"/>
    </w:pPr>
    <w:rPr>
      <w:rFonts w:ascii="Times New Roman" w:hAnsi="Times New Roman" w:eastAsia="Times New Roman"/>
      <w:sz w:val="24"/>
      <w:szCs w:val="24"/>
      <w:lang w:val="en-US" w:eastAsia="en-US"/>
    </w:rPr>
  </w:style>
  <w:style w:type="character" w:styleId="670">
    <w:name w:val="Основной текст Знак"/>
    <w:next w:val="670"/>
    <w:link w:val="669"/>
    <w:uiPriority w:val="99"/>
    <w:rPr>
      <w:rFonts w:ascii="Times New Roman" w:hAnsi="Times New Roman" w:eastAsia="Times New Roman"/>
      <w:sz w:val="24"/>
      <w:szCs w:val="24"/>
    </w:rPr>
  </w:style>
  <w:style w:type="paragraph" w:styleId="671">
    <w:name w:val="Standard"/>
    <w:next w:val="671"/>
    <w:link w:val="655"/>
    <w:pPr>
      <w:spacing w:after="200" w:line="276" w:lineRule="auto"/>
    </w:pPr>
    <w:rPr>
      <w:rFonts w:cs="Calibri"/>
      <w:sz w:val="22"/>
      <w:szCs w:val="22"/>
      <w:lang w:val="ru-RU" w:eastAsia="zh-CN" w:bidi="ar-SA"/>
    </w:rPr>
  </w:style>
  <w:style w:type="character" w:styleId="672">
    <w:name w:val="iceouttxt4"/>
    <w:basedOn w:val="656"/>
    <w:next w:val="672"/>
    <w:link w:val="655"/>
  </w:style>
  <w:style w:type="paragraph" w:styleId="673">
    <w:name w:val="Верхний колонтитул"/>
    <w:basedOn w:val="655"/>
    <w:next w:val="673"/>
    <w:link w:val="674"/>
    <w:uiPriority w:val="99"/>
    <w:unhideWhenUsed/>
    <w:pPr>
      <w:jc w:val="left"/>
      <w:tabs>
        <w:tab w:val="center" w:pos="4677" w:leader="none"/>
        <w:tab w:val="right" w:pos="9355" w:leader="none"/>
      </w:tabs>
    </w:pPr>
    <w:rPr>
      <w:rFonts w:eastAsia="Times New Roman"/>
      <w:lang w:val="en-US" w:eastAsia="en-US"/>
    </w:rPr>
  </w:style>
  <w:style w:type="character" w:styleId="674">
    <w:name w:val="Верхний колонтитул Знак"/>
    <w:next w:val="674"/>
    <w:link w:val="673"/>
    <w:uiPriority w:val="99"/>
    <w:rPr>
      <w:rFonts w:eastAsia="Times New Roman"/>
      <w:sz w:val="22"/>
      <w:szCs w:val="22"/>
    </w:rPr>
  </w:style>
  <w:style w:type="paragraph" w:styleId="675">
    <w:name w:val="Нижний колонтитул"/>
    <w:basedOn w:val="655"/>
    <w:next w:val="675"/>
    <w:link w:val="676"/>
    <w:uiPriority w:val="99"/>
    <w:unhideWhenUsed/>
    <w:pPr>
      <w:jc w:val="left"/>
      <w:tabs>
        <w:tab w:val="center" w:pos="4677" w:leader="none"/>
        <w:tab w:val="right" w:pos="9355" w:leader="none"/>
      </w:tabs>
    </w:pPr>
    <w:rPr>
      <w:rFonts w:eastAsia="Times New Roman"/>
      <w:lang w:val="en-US" w:eastAsia="en-US"/>
    </w:rPr>
  </w:style>
  <w:style w:type="character" w:styleId="676">
    <w:name w:val="Нижний колонтитул Знак"/>
    <w:next w:val="676"/>
    <w:link w:val="675"/>
    <w:uiPriority w:val="99"/>
    <w:rPr>
      <w:rFonts w:eastAsia="Times New Roman"/>
      <w:sz w:val="22"/>
      <w:szCs w:val="22"/>
    </w:rPr>
  </w:style>
  <w:style w:type="paragraph" w:styleId="677">
    <w:name w:val="ConsPlusTitle"/>
    <w:next w:val="677"/>
    <w:link w:val="655"/>
    <w:pPr>
      <w:widowControl w:val="off"/>
    </w:pPr>
    <w:rPr>
      <w:rFonts w:ascii="Times New Roman" w:hAnsi="Times New Roman" w:eastAsia="Times New Roman"/>
      <w:b/>
      <w:bCs/>
      <w:sz w:val="24"/>
      <w:szCs w:val="24"/>
      <w:lang w:val="ru-RU" w:eastAsia="ru-RU" w:bidi="ar-SA"/>
    </w:rPr>
  </w:style>
  <w:style w:type="character" w:styleId="678">
    <w:name w:val="Гипертекстовая ссылка"/>
    <w:next w:val="678"/>
    <w:link w:val="655"/>
    <w:uiPriority w:val="99"/>
    <w:rPr>
      <w:rFonts w:cs="Times New Roman"/>
      <w:color w:val="106bbe"/>
      <w:sz w:val="26"/>
    </w:rPr>
  </w:style>
  <w:style w:type="paragraph" w:styleId="679">
    <w:name w:val="ConsPlusNormal"/>
    <w:next w:val="679"/>
    <w:link w:val="680"/>
    <w:pPr>
      <w:ind w:firstLine="720"/>
      <w:widowControl w:val="off"/>
    </w:pPr>
    <w:rPr>
      <w:rFonts w:ascii="Arial" w:hAnsi="Arial" w:eastAsia="Times New Roman" w:cs="Arial"/>
      <w:lang w:val="ru-RU" w:eastAsia="ru-RU" w:bidi="ar-SA"/>
    </w:rPr>
  </w:style>
  <w:style w:type="character" w:styleId="680">
    <w:name w:val="ConsPlusNormal Знак"/>
    <w:next w:val="680"/>
    <w:link w:val="679"/>
    <w:rPr>
      <w:rFonts w:ascii="Arial" w:hAnsi="Arial" w:eastAsia="Times New Roman" w:cs="Arial"/>
      <w:lang w:val="ru-RU" w:eastAsia="ru-RU" w:bidi="ar-SA"/>
    </w:rPr>
  </w:style>
  <w:style w:type="character" w:styleId="681">
    <w:name w:val="Строгий"/>
    <w:next w:val="681"/>
    <w:link w:val="655"/>
    <w:uiPriority w:val="22"/>
    <w:qFormat/>
    <w:rPr>
      <w:b/>
      <w:bCs/>
    </w:rPr>
  </w:style>
  <w:style w:type="character" w:styleId="1053" w:default="1">
    <w:name w:val="Default Paragraph Font"/>
    <w:uiPriority w:val="1"/>
    <w:semiHidden/>
    <w:unhideWhenUsed/>
  </w:style>
  <w:style w:type="numbering" w:styleId="1054" w:default="1">
    <w:name w:val="No List"/>
    <w:uiPriority w:val="99"/>
    <w:semiHidden/>
    <w:unhideWhenUsed/>
  </w:style>
  <w:style w:type="table" w:styleId="1055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>Hewlett-Packard Company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chervovaav</dc:creator>
  <cp:revision>3</cp:revision>
  <dcterms:created xsi:type="dcterms:W3CDTF">2025-01-17T07:40:00Z</dcterms:created>
  <dcterms:modified xsi:type="dcterms:W3CDTF">2025-01-21T12:29:31Z</dcterms:modified>
  <cp:version>917504</cp:version>
</cp:coreProperties>
</file>