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69"/>
        <w:jc w:val="center"/>
        <w:rPr>
          <w:rFonts w:ascii="Times New Roman" w:hAnsi="Times New Roman" w:cs="Times New Roman" w:eastAsia="Courier New"/>
          <w:b/>
          <w:sz w:val="20"/>
          <w:szCs w:val="20"/>
        </w:rPr>
      </w:pPr>
      <w:r>
        <w:rPr>
          <w:rFonts w:ascii="Times New Roman" w:hAnsi="Times New Roman" w:cs="Times New Roman" w:eastAsia="Courier New"/>
          <w:b/>
          <w:sz w:val="20"/>
          <w:szCs w:val="20"/>
        </w:rPr>
        <w:t xml:space="preserve">ТРЕБОВАНИЯ К СОДЕРЖАНИЮ, СОСТАВУ ЗАЯВКИ НА УЧАСТИЕ В ЗАКУПКЕ </w:t>
      </w:r>
      <w:r/>
    </w:p>
    <w:p>
      <w:pPr>
        <w:pStyle w:val="669"/>
        <w:jc w:val="center"/>
        <w:rPr>
          <w:rFonts w:ascii="Times New Roman" w:hAnsi="Times New Roman" w:cs="Times New Roman" w:eastAsia="Courier New"/>
          <w:b/>
          <w:sz w:val="20"/>
          <w:szCs w:val="20"/>
        </w:rPr>
      </w:pPr>
      <w:r>
        <w:rPr>
          <w:rFonts w:ascii="Times New Roman" w:hAnsi="Times New Roman" w:cs="Times New Roman" w:eastAsia="Courier New"/>
          <w:b/>
          <w:sz w:val="20"/>
          <w:szCs w:val="20"/>
        </w:rPr>
        <w:t xml:space="preserve">И ИНСТРУКЦИЯ ПО ЕЕ ЗАПОЛНЕНИЮ</w:t>
      </w:r>
      <w:r/>
    </w:p>
    <w:p>
      <w:pPr>
        <w:pStyle w:val="669"/>
        <w:jc w:val="center"/>
        <w:rPr>
          <w:rFonts w:ascii="Times New Roman" w:hAnsi="Times New Roman" w:cs="Times New Roman" w:eastAsia="Courier New"/>
          <w:sz w:val="20"/>
          <w:szCs w:val="20"/>
        </w:rPr>
      </w:pPr>
      <w:r>
        <w:rPr>
          <w:rFonts w:ascii="Times New Roman" w:hAnsi="Times New Roman" w:cs="Times New Roman" w:eastAsia="Courier New"/>
          <w:sz w:val="20"/>
          <w:szCs w:val="20"/>
        </w:rPr>
      </w:r>
      <w:r/>
    </w:p>
    <w:tbl>
      <w:tblPr>
        <w:tblStyle w:val="672"/>
        <w:tblW w:w="10771" w:type="dxa"/>
        <w:tblLook w:val="04A0" w:firstRow="1" w:lastRow="0" w:firstColumn="1" w:lastColumn="0" w:noHBand="0" w:noVBand="1"/>
      </w:tblPr>
      <w:tblGrid>
        <w:gridCol w:w="601"/>
        <w:gridCol w:w="5206"/>
        <w:gridCol w:w="4964"/>
      </w:tblGrid>
      <w:tr>
        <w:trPr/>
        <w:tc>
          <w:tcPr>
            <w:tcW w:w="601" w:type="dxa"/>
            <w:textDirection w:val="lrTb"/>
            <w:noWrap w:val="false"/>
          </w:tcPr>
          <w:p>
            <w:pPr>
              <w:pStyle w:val="669"/>
              <w:jc w:val="center"/>
              <w:rPr>
                <w:rFonts w:ascii="Times New Roman" w:hAnsi="Times New Roman" w:cs="Times New Roman" w:eastAsia="Courier New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b/>
                <w:sz w:val="20"/>
                <w:szCs w:val="20"/>
              </w:rPr>
              <w:t xml:space="preserve">№ п/п</w:t>
            </w:r>
            <w:r/>
          </w:p>
        </w:tc>
        <w:tc>
          <w:tcPr>
            <w:tcW w:w="5206" w:type="dxa"/>
            <w:textDirection w:val="lrTb"/>
            <w:noWrap w:val="false"/>
          </w:tcPr>
          <w:p>
            <w:pPr>
              <w:pStyle w:val="669"/>
              <w:jc w:val="center"/>
              <w:rPr>
                <w:rFonts w:ascii="Times New Roman" w:hAnsi="Times New Roman" w:cs="Times New Roman" w:eastAsia="Courier New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b/>
                <w:sz w:val="20"/>
                <w:szCs w:val="20"/>
              </w:rPr>
              <w:t xml:space="preserve">Требования к содержанию, составу заявки </w:t>
            </w:r>
            <w:r/>
          </w:p>
          <w:p>
            <w:pPr>
              <w:pStyle w:val="669"/>
              <w:jc w:val="center"/>
              <w:rPr>
                <w:rFonts w:ascii="Times New Roman" w:hAnsi="Times New Roman" w:cs="Times New Roman" w:eastAsia="Courier New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b/>
                <w:sz w:val="20"/>
                <w:szCs w:val="20"/>
              </w:rPr>
              <w:t xml:space="preserve">на участие в закупке</w:t>
            </w:r>
            <w:r/>
          </w:p>
        </w:tc>
        <w:tc>
          <w:tcPr>
            <w:tcW w:w="4959" w:type="dxa"/>
            <w:textDirection w:val="lrTb"/>
            <w:noWrap w:val="false"/>
          </w:tcPr>
          <w:p>
            <w:pPr>
              <w:pStyle w:val="669"/>
              <w:jc w:val="center"/>
              <w:rPr>
                <w:rFonts w:ascii="Times New Roman" w:hAnsi="Times New Roman" w:cs="Times New Roman" w:eastAsia="Courier New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b/>
                <w:sz w:val="20"/>
                <w:szCs w:val="20"/>
              </w:rPr>
              <w:t xml:space="preserve">Текст пояснений</w:t>
            </w:r>
            <w:r/>
          </w:p>
        </w:tc>
      </w:tr>
      <w:tr>
        <w:trPr>
          <w:trHeight w:val="495"/>
        </w:trPr>
        <w:tc>
          <w:tcPr>
            <w:gridSpan w:val="3"/>
            <w:shd w:val="clear" w:color="auto" w:fill="D9D9D9" w:themeFill="background1" w:themeFillShade="D9"/>
            <w:tcW w:w="10771" w:type="dxa"/>
            <w:vAlign w:val="center"/>
            <w:textDirection w:val="lrTb"/>
            <w:noWrap w:val="false"/>
          </w:tcPr>
          <w:p>
            <w:pPr>
              <w:pStyle w:val="669"/>
              <w:jc w:val="center"/>
              <w:rPr>
                <w:rFonts w:ascii="Times New Roman" w:hAnsi="Times New Roman" w:cs="Times New Roman" w:eastAsia="Courier New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b/>
                <w:sz w:val="20"/>
                <w:szCs w:val="20"/>
              </w:rPr>
              <w:t xml:space="preserve">1. </w:t>
            </w:r>
            <w:r>
              <w:rPr>
                <w:rFonts w:ascii="Times New Roman" w:hAnsi="Times New Roman" w:cs="Times New Roman" w:eastAsia="Courier New"/>
                <w:b/>
                <w:sz w:val="20"/>
                <w:szCs w:val="20"/>
              </w:rPr>
              <w:t xml:space="preserve">Информация и документы об участнике закупки</w:t>
            </w:r>
            <w:r/>
          </w:p>
        </w:tc>
      </w:tr>
      <w:tr>
        <w:trPr/>
        <w:tc>
          <w:tcPr>
            <w:tcW w:w="601" w:type="dxa"/>
            <w:textDirection w:val="lrTb"/>
            <w:noWrap w:val="false"/>
          </w:tcPr>
          <w:p>
            <w:pPr>
              <w:pStyle w:val="669"/>
              <w:jc w:val="center"/>
              <w:rPr>
                <w:rFonts w:ascii="Times New Roman" w:hAnsi="Times New Roman" w:cs="Times New Roman" w:eastAsia="Courier New"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1.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1.</w:t>
            </w:r>
            <w:r/>
          </w:p>
        </w:tc>
        <w:tc>
          <w:tcPr>
            <w:tcW w:w="5206" w:type="dxa"/>
            <w:textDirection w:val="lrTb"/>
            <w:noWrap w:val="false"/>
          </w:tcPr>
          <w:p>
            <w:pPr>
              <w:pStyle w:val="669"/>
              <w:jc w:val="both"/>
              <w:rPr>
                <w:rFonts w:ascii="Times New Roman" w:hAnsi="Times New Roman" w:cs="Times New Roman" w:eastAsia="Courier New"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Решение о согласии на совершение или о последующем одобрении крупной сделки, если требование о наличии такого решения установлено законодательством Российской Федерации, учредительными </w:t>
            </w:r>
            <w:bookmarkStart w:id="0" w:name="_GoBack"/>
            <w:r/>
            <w:bookmarkEnd w:id="0"/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документами юридического лица и для участника за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купки заключение контракта на поставку товара, выполнение работы или оказание услуги, являющихся объектом закупки, либо внесение денежных средств в качестве обеспечения заявки на участие в закупке, обеспечения исполнения контракта является крупной сделкой.</w:t>
            </w:r>
            <w:r/>
          </w:p>
        </w:tc>
        <w:tc>
          <w:tcPr>
            <w:tcW w:w="4959" w:type="dxa"/>
            <w:vAlign w:val="center"/>
            <w:textDirection w:val="lrTb"/>
            <w:noWrap w:val="false"/>
          </w:tcPr>
          <w:p>
            <w:pPr>
              <w:pStyle w:val="669"/>
              <w:rPr>
                <w:rFonts w:ascii="Times New Roman" w:hAnsi="Times New Roman" w:cs="Times New Roman" w:eastAsia="Courier New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b/>
                <w:sz w:val="20"/>
                <w:szCs w:val="20"/>
              </w:rPr>
              <w:t xml:space="preserve">Установлено.</w:t>
            </w:r>
            <w:r/>
          </w:p>
        </w:tc>
      </w:tr>
      <w:tr>
        <w:trPr/>
        <w:tc>
          <w:tcPr>
            <w:tcW w:w="601" w:type="dxa"/>
            <w:textDirection w:val="lrTb"/>
            <w:noWrap w:val="false"/>
          </w:tcPr>
          <w:p>
            <w:pPr>
              <w:pStyle w:val="669"/>
              <w:jc w:val="center"/>
              <w:rPr>
                <w:rFonts w:ascii="Times New Roman" w:hAnsi="Times New Roman" w:cs="Times New Roman" w:eastAsia="Courier New"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1.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2.</w:t>
            </w:r>
            <w:r/>
          </w:p>
        </w:tc>
        <w:tc>
          <w:tcPr>
            <w:tcW w:w="5206" w:type="dxa"/>
            <w:textDirection w:val="lrTb"/>
            <w:noWrap w:val="false"/>
          </w:tcPr>
          <w:p>
            <w:pPr>
              <w:pStyle w:val="669"/>
              <w:jc w:val="both"/>
              <w:rPr>
                <w:rFonts w:ascii="Times New Roman" w:hAnsi="Times New Roman" w:cs="Times New Roman" w:eastAsia="Courier New"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Декларация о соответствии участника закупки требованиям, установленным </w:t>
            </w:r>
            <w:hyperlink w:tooltip="#P777" w:anchor="P777" w:history="1">
              <w:r>
                <w:rPr>
                  <w:rFonts w:ascii="Times New Roman" w:hAnsi="Times New Roman" w:cs="Times New Roman" w:eastAsia="Courier New"/>
                  <w:sz w:val="20"/>
                  <w:szCs w:val="20"/>
                </w:rPr>
                <w:t xml:space="preserve">пунктами 3</w:t>
              </w:r>
            </w:hyperlink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 - </w:t>
            </w:r>
            <w:hyperlink w:tooltip="#P780" w:anchor="P780" w:history="1">
              <w:r>
                <w:rPr>
                  <w:rFonts w:ascii="Times New Roman" w:hAnsi="Times New Roman" w:cs="Times New Roman" w:eastAsia="Courier New"/>
                  <w:sz w:val="20"/>
                  <w:szCs w:val="20"/>
                </w:rPr>
                <w:t xml:space="preserve">5</w:t>
              </w:r>
            </w:hyperlink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, </w:t>
            </w:r>
            <w:hyperlink w:tooltip="#P782" w:anchor="P782" w:history="1">
              <w:r>
                <w:rPr>
                  <w:rFonts w:ascii="Times New Roman" w:hAnsi="Times New Roman" w:cs="Times New Roman" w:eastAsia="Courier New"/>
                  <w:sz w:val="20"/>
                  <w:szCs w:val="20"/>
                </w:rPr>
                <w:t xml:space="preserve">7</w:t>
              </w:r>
            </w:hyperlink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 - </w:t>
            </w:r>
            <w:hyperlink w:tooltip="#P791" w:anchor="P791" w:history="1">
              <w:r>
                <w:rPr>
                  <w:rFonts w:ascii="Times New Roman" w:hAnsi="Times New Roman" w:cs="Times New Roman" w:eastAsia="Courier New"/>
                  <w:sz w:val="20"/>
                  <w:szCs w:val="20"/>
                </w:rPr>
                <w:t xml:space="preserve">11 части 1 статьи 31</w:t>
              </w:r>
            </w:hyperlink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 Федерального закона № 44-ФЗ.</w:t>
            </w:r>
            <w:r/>
          </w:p>
        </w:tc>
        <w:tc>
          <w:tcPr>
            <w:tcW w:w="4959" w:type="dxa"/>
            <w:vAlign w:val="center"/>
            <w:textDirection w:val="lrTb"/>
            <w:noWrap w:val="false"/>
          </w:tcPr>
          <w:p>
            <w:pPr>
              <w:pStyle w:val="669"/>
              <w:rPr>
                <w:rFonts w:ascii="Times New Roman" w:hAnsi="Times New Roman" w:cs="Times New Roman" w:eastAsia="Courier New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b/>
                <w:sz w:val="20"/>
                <w:szCs w:val="20"/>
              </w:rPr>
              <w:t xml:space="preserve">Установлено.</w:t>
            </w:r>
            <w:r/>
          </w:p>
        </w:tc>
      </w:tr>
      <w:tr>
        <w:trPr/>
        <w:tc>
          <w:tcPr>
            <w:tcW w:w="601" w:type="dxa"/>
            <w:textDirection w:val="lrTb"/>
            <w:noWrap w:val="false"/>
          </w:tcPr>
          <w:p>
            <w:pPr>
              <w:pStyle w:val="669"/>
              <w:jc w:val="center"/>
              <w:rPr>
                <w:rFonts w:ascii="Times New Roman" w:hAnsi="Times New Roman" w:cs="Times New Roman" w:eastAsia="Courier New"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1.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3.</w:t>
            </w:r>
            <w:r/>
          </w:p>
        </w:tc>
        <w:tc>
          <w:tcPr>
            <w:tcW w:w="5206" w:type="dxa"/>
            <w:textDirection w:val="lrTb"/>
            <w:noWrap w:val="false"/>
          </w:tcPr>
          <w:p>
            <w:pPr>
              <w:pStyle w:val="669"/>
              <w:jc w:val="both"/>
              <w:rPr>
                <w:rFonts w:ascii="Times New Roman" w:hAnsi="Times New Roman" w:cs="Times New Roman" w:eastAsia="Courier New"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Реквизиты счета участника закупки, на который в соответствии с законодательством Российской Федерации осуществляется перечисление денежных средств в качестве оплаты пос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тавленного товара, выполненной работы (ее результатов), оказанной услуги, а также отдельных этапов исполнения контракта, за исключением случаев, если в соответствии с законодательством Российской Федерации такой счет открывается после заключения контракта.</w:t>
            </w:r>
            <w:r/>
          </w:p>
        </w:tc>
        <w:tc>
          <w:tcPr>
            <w:tcW w:w="4959" w:type="dxa"/>
            <w:vAlign w:val="center"/>
            <w:textDirection w:val="lrTb"/>
            <w:noWrap w:val="false"/>
          </w:tcPr>
          <w:p>
            <w:pPr>
              <w:pStyle w:val="669"/>
              <w:rPr>
                <w:rFonts w:ascii="Times New Roman" w:hAnsi="Times New Roman" w:cs="Times New Roman" w:eastAsia="Courier New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b/>
                <w:sz w:val="20"/>
                <w:szCs w:val="20"/>
              </w:rPr>
              <w:t xml:space="preserve">Установлено.</w:t>
            </w:r>
            <w:r/>
          </w:p>
        </w:tc>
      </w:tr>
      <w:tr>
        <w:trPr/>
        <w:tc>
          <w:tcPr>
            <w:tcW w:w="601" w:type="dxa"/>
            <w:textDirection w:val="lrTb"/>
            <w:noWrap w:val="false"/>
          </w:tcPr>
          <w:p>
            <w:pPr>
              <w:pStyle w:val="669"/>
              <w:jc w:val="center"/>
              <w:rPr>
                <w:rFonts w:ascii="Times New Roman" w:hAnsi="Times New Roman" w:cs="Times New Roman" w:eastAsia="Courier New"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1.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4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.</w:t>
            </w:r>
            <w:r/>
          </w:p>
        </w:tc>
        <w:tc>
          <w:tcPr>
            <w:tcW w:w="5206" w:type="dxa"/>
            <w:textDirection w:val="lrTb"/>
            <w:noWrap w:val="false"/>
          </w:tcPr>
          <w:p>
            <w:pPr>
              <w:jc w:val="both"/>
              <w:spacing w:lineRule="atLeast" w:line="220"/>
              <w:rPr>
                <w:rFonts w:ascii="Times New Roman" w:hAnsi="Times New Roman" w:cs="Times New Roman" w:eastAsia="Courier New"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Документы, подтверждающие соответствие участника закупки требованиям, установленным </w:t>
            </w:r>
            <w:hyperlink w:tooltip="#P775" w:anchor="P775" w:history="1">
              <w:r>
                <w:rPr>
                  <w:rFonts w:ascii="Times New Roman" w:hAnsi="Times New Roman" w:cs="Times New Roman" w:eastAsia="Courier New"/>
                  <w:sz w:val="20"/>
                  <w:szCs w:val="20"/>
                </w:rPr>
                <w:t xml:space="preserve">пунктом 1 части 1 статьи 31</w:t>
              </w:r>
            </w:hyperlink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 Федерального закона № 44-ФЗ (в случае установления требований о предоставлении соответствующих документов в извещении об осуществлении закупки).</w:t>
            </w:r>
            <w:r/>
          </w:p>
        </w:tc>
        <w:tc>
          <w:tcPr>
            <w:tcW w:w="4959" w:type="dxa"/>
            <w:textDirection w:val="lrTb"/>
            <w:noWrap w:val="false"/>
          </w:tcPr>
          <w:p>
            <w:pPr>
              <w:pStyle w:val="668"/>
              <w:numPr>
                <w:ilvl w:val="0"/>
                <w:numId w:val="10"/>
              </w:numPr>
              <w:ind w:left="0" w:right="0" w:firstLine="0"/>
              <w:jc w:val="both"/>
            </w:pPr>
            <w:r>
              <w:rPr>
                <w:rFonts w:ascii="Times New Roman" w:hAnsi="Times New Roman" w:cs="Times New Roman" w:eastAsia="Courier New"/>
                <w:i/>
                <w:sz w:val="20"/>
                <w:szCs w:val="20"/>
              </w:rPr>
              <w:t xml:space="preserve">Наличие у участника закупки действующего специального разрешения (лицензии) на осуществление деятельности по сохранению объектов культурного наследия (памятников истории и культуры) народов Российской Федерации.</w:t>
            </w:r>
            <w:r>
              <w:rPr>
                <w:rFonts w:ascii="Times New Roman" w:hAnsi="Times New Roman" w:cs="Times New Roman" w:eastAsia="Courier New"/>
                <w:i/>
                <w:sz w:val="20"/>
                <w:szCs w:val="20"/>
              </w:rPr>
            </w:r>
          </w:p>
          <w:p>
            <w:pPr>
              <w:ind w:left="0" w:right="0" w:firstLine="0"/>
              <w:jc w:val="both"/>
            </w:pPr>
            <w:r>
              <w:rPr>
                <w:rFonts w:ascii="Times New Roman" w:hAnsi="Times New Roman" w:cs="Times New Roman" w:eastAsia="Courier New"/>
                <w:i/>
                <w:sz w:val="20"/>
                <w:szCs w:val="20"/>
              </w:rPr>
              <w:t xml:space="preserve">Виды работ (услуг), выполняемых (оказываемых) в составе лицензируемого вида деятельности: </w:t>
            </w:r>
            <w:r>
              <w:rPr>
                <w:rFonts w:ascii="Times New Roman" w:hAnsi="Times New Roman" w:cs="Times New Roman" w:eastAsia="Courier New"/>
                <w:i/>
                <w:sz w:val="20"/>
                <w:szCs w:val="20"/>
              </w:rPr>
            </w:r>
          </w:p>
          <w:p>
            <w:pPr>
              <w:jc w:val="both"/>
              <w:rPr>
                <w:b/>
              </w:rPr>
            </w:pPr>
            <w:r>
              <w:rPr>
                <w:rFonts w:ascii="Times New Roman" w:hAnsi="Times New Roman" w:cs="Times New Roman" w:eastAsia="Courier New"/>
                <w:i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 w:cs="Times New Roman" w:eastAsia="Courier New"/>
                <w:b/>
                <w:i/>
                <w:sz w:val="20"/>
                <w:szCs w:val="20"/>
              </w:rPr>
              <w:t xml:space="preserve">реставрация, консервация и воссоздание исторического ландшафта и произведений садово-паркового искусства</w:t>
            </w:r>
            <w:r>
              <w:rPr>
                <w:rFonts w:ascii="Times New Roman" w:hAnsi="Times New Roman" w:cs="Times New Roman" w:eastAsia="Courier New"/>
                <w:b/>
                <w:i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 w:cs="Times New Roman" w:eastAsia="Courier New"/>
                <w:b/>
                <w:i/>
                <w:sz w:val="20"/>
                <w:szCs w:val="20"/>
              </w:rPr>
            </w:r>
          </w:p>
          <w:p>
            <w:pPr>
              <w:jc w:val="both"/>
            </w:pPr>
            <w:r>
              <w:rPr>
                <w:rFonts w:ascii="Times New Roman" w:hAnsi="Times New Roman" w:cs="Times New Roman" w:eastAsia="Courier New"/>
                <w:i/>
                <w:sz w:val="20"/>
                <w:szCs w:val="20"/>
              </w:rPr>
              <w:t xml:space="preserve">Соответствие участника закупки установленному требованию подтверждается документом, содержащем сведения, обеспечивающие возможность подтверждения наличия у участника закупки специального разрешения на право осуществления конкретного вида деятельности (лицен</w:t>
            </w:r>
            <w:r>
              <w:rPr>
                <w:rFonts w:ascii="Times New Roman" w:hAnsi="Times New Roman" w:cs="Times New Roman" w:eastAsia="Courier New"/>
                <w:i/>
                <w:sz w:val="20"/>
                <w:szCs w:val="20"/>
              </w:rPr>
              <w:t xml:space="preserve">зии), в том числе ее статуса (действующая, не приостановлена, не приостановлена частично, не прекращена).</w:t>
            </w:r>
            <w:r>
              <w:rPr>
                <w:rFonts w:ascii="Times New Roman" w:hAnsi="Times New Roman" w:cs="Times New Roman" w:eastAsia="Courier New"/>
                <w:i/>
                <w:sz w:val="20"/>
                <w:szCs w:val="20"/>
              </w:rPr>
            </w:r>
            <w:r/>
          </w:p>
          <w:p>
            <w:pPr>
              <w:jc w:val="both"/>
              <w:rPr>
                <w:rFonts w:ascii="Times New Roman" w:hAnsi="Times New Roman" w:cs="Times New Roman" w:eastAsia="Courier New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i/>
                <w:sz w:val="20"/>
                <w:szCs w:val="20"/>
              </w:rPr>
            </w:r>
            <w:r/>
          </w:p>
          <w:p>
            <w:pPr>
              <w:jc w:val="both"/>
              <w:rPr>
                <w:rFonts w:ascii="Times New Roman" w:hAnsi="Times New Roman" w:cs="Times New Roman" w:eastAsia="Courier New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i/>
                <w:sz w:val="20"/>
                <w:szCs w:val="20"/>
              </w:rPr>
              <w:t xml:space="preserve">2) Подтверждением, что участник закупки является членом саморегулируемой организации является наличие информации о нём в едином реестре о членах саморегулируемых организаций и их обязательствах.</w:t>
            </w:r>
            <w:r/>
          </w:p>
        </w:tc>
      </w:tr>
      <w:tr>
        <w:trPr/>
        <w:tc>
          <w:tcPr>
            <w:tcW w:w="601" w:type="dxa"/>
            <w:vMerge w:val="restart"/>
            <w:textDirection w:val="lrTb"/>
            <w:noWrap w:val="false"/>
          </w:tcPr>
          <w:p>
            <w:pPr>
              <w:pStyle w:val="669"/>
              <w:jc w:val="center"/>
              <w:rPr>
                <w:rFonts w:ascii="Times New Roman" w:hAnsi="Times New Roman" w:cs="Times New Roman" w:eastAsia="Courier New"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1.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.</w:t>
            </w:r>
            <w:r/>
          </w:p>
          <w:p>
            <w:pPr>
              <w:pStyle w:val="669"/>
              <w:jc w:val="center"/>
              <w:rPr>
                <w:rFonts w:ascii="Times New Roman" w:hAnsi="Times New Roman" w:cs="Times New Roman" w:eastAsia="Courier New"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sz w:val="20"/>
                <w:szCs w:val="20"/>
              </w:rPr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</w:r>
            <w:r/>
          </w:p>
        </w:tc>
        <w:tc>
          <w:tcPr>
            <w:tcW w:w="5206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 w:eastAsia="Courier New"/>
              </w:rPr>
            </w:pP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Документы, подтверждающие соответствие участника закупки дополнительным требованиям, установленным в соответствии с </w:t>
            </w:r>
            <w:hyperlink w:tooltip="#P795" w:anchor="P795" w:history="1">
              <w:r>
                <w:rPr>
                  <w:rFonts w:ascii="Times New Roman" w:hAnsi="Times New Roman" w:cs="Times New Roman" w:eastAsia="Courier New"/>
                  <w:sz w:val="20"/>
                  <w:szCs w:val="20"/>
                </w:rPr>
                <w:t xml:space="preserve">частью</w:t>
              </w:r>
              <w:r>
                <w:rPr>
                  <w:rFonts w:ascii="Times New Roman" w:hAnsi="Times New Roman" w:cs="Times New Roman" w:eastAsia="Courier New"/>
                  <w:sz w:val="20"/>
                  <w:szCs w:val="20"/>
                </w:rPr>
                <w:t xml:space="preserve"> 2</w:t>
              </w:r>
            </w:hyperlink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статьи 31 Федерального закона № 44-ФЗ, если иное не предусмотр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ено Федеральным законом № 44-ФЗ.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</w:r>
            <w:r/>
          </w:p>
        </w:tc>
        <w:tc>
          <w:tcPr>
            <w:tcW w:w="4959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 w:eastAsia="Courier New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b/>
                <w:sz w:val="20"/>
                <w:szCs w:val="20"/>
              </w:rPr>
              <w:t xml:space="preserve">Установлено.</w:t>
            </w:r>
            <w:r/>
          </w:p>
          <w:p>
            <w:pPr>
              <w:pStyle w:val="669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Исчерпывающий перечень документов установлен в Извещении об осуществлении закупки.</w:t>
            </w:r>
            <w:r/>
          </w:p>
          <w:p>
            <w:pPr>
              <w:pStyle w:val="669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Не включаются участником закупки в заявку на участие в закупке. Такие документы направляются (по состоянию на дату и время их направления) оператором электронной площадки, из реестра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участников закупок, аккредитованных на электронной площадке.</w:t>
            </w:r>
            <w:r/>
          </w:p>
          <w:p>
            <w:pPr>
              <w:pStyle w:val="669"/>
              <w:jc w:val="both"/>
              <w:rPr>
                <w:rFonts w:ascii="Times New Roman" w:hAnsi="Times New Roman" w:cs="Times New Roman" w:eastAsia="Courier New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В случае наличия противоречий между информацией, содержащейся в Единой информационной системе, и информацией, содержащейся в д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окументах, направляемых участниками закупки и предусмотренных приложением в графе "Информация и документы, подтверждающие соответствие участников закупки дополнительным требованиям", приоритет имеет информация, содержащаяся в Единой информационной системе.</w:t>
            </w:r>
            <w:r/>
          </w:p>
        </w:tc>
      </w:tr>
      <w:tr>
        <w:trPr/>
        <w:tc>
          <w:tcPr>
            <w:tcW w:w="6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5206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 w:eastAsia="Courier New"/>
              </w:rPr>
            </w:pP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Документы, подтверждающие соответствие участника закупки дополнительным требованиям, установленным в соответствии с частью 2.1 статьи 31 Федерального закона № 44-ФЗ, если иное не предусмотр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ено Федеральным законом № 44-ФЗ.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</w:r>
            <w:r/>
          </w:p>
        </w:tc>
        <w:tc>
          <w:tcPr>
            <w:tcW w:w="4959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 w:eastAsia="Courier New"/>
              </w:rPr>
            </w:pPr>
            <w:r>
              <w:rPr>
                <w:rFonts w:ascii="Times New Roman" w:hAnsi="Times New Roman" w:cs="Times New Roman" w:eastAsia="Courier New"/>
                <w:b/>
                <w:bCs/>
                <w:iCs/>
                <w:sz w:val="20"/>
                <w:szCs w:val="20"/>
              </w:rPr>
              <w:t xml:space="preserve">Не</w:t>
            </w:r>
            <w:r>
              <w:rPr>
                <w:rFonts w:ascii="Times New Roman" w:hAnsi="Times New Roman" w:cs="Times New Roman" w:eastAsia="Courier New"/>
                <w:b/>
                <w:sz w:val="20"/>
                <w:szCs w:val="20"/>
              </w:rPr>
              <w:t xml:space="preserve"> установлено</w:t>
            </w:r>
            <w:r>
              <w:rPr>
                <w:rFonts w:ascii="Times New Roman" w:hAnsi="Times New Roman" w:cs="Times New Roman" w:eastAsia="Courier New"/>
                <w:b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 w:cs="Times New Roman" w:eastAsia="Courier New"/>
                <w:b/>
                <w:sz w:val="20"/>
                <w:szCs w:val="20"/>
              </w:rPr>
            </w:r>
            <w:r/>
          </w:p>
        </w:tc>
      </w:tr>
      <w:tr>
        <w:trPr/>
        <w:tc>
          <w:tcPr>
            <w:tcW w:w="601" w:type="dxa"/>
            <w:textDirection w:val="lrTb"/>
            <w:noWrap w:val="false"/>
          </w:tcPr>
          <w:p>
            <w:pPr>
              <w:pStyle w:val="669"/>
              <w:jc w:val="center"/>
              <w:rPr>
                <w:rFonts w:ascii="Times New Roman" w:hAnsi="Times New Roman" w:cs="Times New Roman" w:eastAsia="Courier New"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1.6.</w:t>
            </w:r>
            <w:r/>
          </w:p>
        </w:tc>
        <w:tc>
          <w:tcPr>
            <w:tcW w:w="5206" w:type="dxa"/>
            <w:textDirection w:val="lrTb"/>
            <w:noWrap w:val="false"/>
          </w:tcPr>
          <w:p>
            <w:pPr>
              <w:pStyle w:val="66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Документы, подтверждающие квалификацию участника закупки.</w:t>
            </w:r>
            <w:r/>
          </w:p>
          <w:p>
            <w:pPr>
              <w:jc w:val="both"/>
              <w:rPr>
                <w:rFonts w:ascii="Times New Roman" w:hAnsi="Times New Roman" w:cs="Times New Roman" w:eastAsia="Courier New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*Отсутствие таких документов не является основанием для признания заявки не соответствующей требованиям Федерального закона № 44-ФЗ.</w:t>
            </w:r>
            <w:r/>
          </w:p>
        </w:tc>
        <w:tc>
          <w:tcPr>
            <w:tcW w:w="4959" w:type="dxa"/>
            <w:vAlign w:val="center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Заказчиком установлен критерий оценки заявок «Квалификация участников закупки, в том числе наличие 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квалификации»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Заявка на участие в закупке может содержать документы, подтверждающие квалификацию участника закупки.</w:t>
            </w:r>
            <w:r/>
          </w:p>
          <w:p>
            <w:pPr>
              <w:jc w:val="both"/>
              <w:rPr>
                <w:rFonts w:ascii="Times New Roman" w:hAnsi="Times New Roman" w:cs="Times New Roman" w:eastAsia="Courier New"/>
                <w:b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Документы, подтверждающие квалификацию участника закупки, указаны в электронном документе Извещения об осуществлении закупки «Порядок рассмотрения и оценки заявок на участие в конкурсах в соответствии с Федеральным законом № 44-ФЗ».</w:t>
            </w:r>
            <w:r/>
          </w:p>
        </w:tc>
      </w:tr>
      <w:tr>
        <w:trPr/>
        <w:tc>
          <w:tcPr>
            <w:tcW w:w="601" w:type="dxa"/>
            <w:textDirection w:val="lrTb"/>
            <w:noWrap w:val="false"/>
          </w:tcPr>
          <w:p>
            <w:pPr>
              <w:pStyle w:val="669"/>
              <w:jc w:val="center"/>
              <w:rPr>
                <w:rFonts w:ascii="Times New Roman" w:hAnsi="Times New Roman" w:cs="Times New Roman" w:eastAsia="Courier New"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2.</w:t>
            </w:r>
            <w:r/>
          </w:p>
        </w:tc>
        <w:tc>
          <w:tcPr>
            <w:tcW w:w="5206" w:type="dxa"/>
            <w:vAlign w:val="center"/>
            <w:textDirection w:val="lrTb"/>
            <w:noWrap w:val="false"/>
          </w:tcPr>
          <w:p>
            <w:pPr>
              <w:pStyle w:val="669"/>
              <w:jc w:val="both"/>
              <w:rPr>
                <w:rFonts w:ascii="Times New Roman" w:hAnsi="Times New Roman" w:cs="Times New Roman" w:eastAsia="Courier New"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Предложение участника закупки в отношении объекта закупки</w:t>
            </w:r>
            <w:r/>
          </w:p>
        </w:tc>
        <w:tc>
          <w:tcPr>
            <w:tcW w:w="4959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 w:eastAsia="Courier New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b/>
                <w:bCs/>
                <w:iCs/>
                <w:sz w:val="20"/>
                <w:szCs w:val="20"/>
              </w:rPr>
              <w:t xml:space="preserve">Не</w:t>
            </w:r>
            <w:r>
              <w:rPr>
                <w:rFonts w:ascii="Times New Roman" w:hAnsi="Times New Roman" w:cs="Times New Roman" w:eastAsia="Courier New"/>
                <w:b/>
                <w:sz w:val="20"/>
                <w:szCs w:val="20"/>
              </w:rPr>
              <w:t xml:space="preserve"> установлено</w:t>
            </w:r>
            <w:r>
              <w:rPr>
                <w:rFonts w:ascii="Times New Roman" w:hAnsi="Times New Roman" w:cs="Times New Roman" w:eastAsia="Courier New"/>
                <w:b/>
                <w:sz w:val="20"/>
                <w:szCs w:val="20"/>
              </w:rPr>
              <w:t xml:space="preserve">.</w:t>
            </w:r>
            <w:r/>
          </w:p>
        </w:tc>
      </w:tr>
      <w:tr>
        <w:trPr/>
        <w:tc>
          <w:tcPr>
            <w:tcW w:w="601" w:type="dxa"/>
            <w:textDirection w:val="lrTb"/>
            <w:noWrap w:val="false"/>
          </w:tcPr>
          <w:p>
            <w:pPr>
              <w:pStyle w:val="669"/>
              <w:jc w:val="center"/>
              <w:rPr>
                <w:rFonts w:ascii="Times New Roman" w:hAnsi="Times New Roman" w:cs="Times New Roman" w:eastAsia="Courier New"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3.</w:t>
            </w:r>
            <w:r/>
          </w:p>
        </w:tc>
        <w:tc>
          <w:tcPr>
            <w:tcW w:w="5206" w:type="dxa"/>
            <w:vAlign w:val="center"/>
            <w:textDirection w:val="lrTb"/>
            <w:noWrap w:val="false"/>
          </w:tcPr>
          <w:p>
            <w:pPr>
              <w:pStyle w:val="669"/>
              <w:jc w:val="both"/>
              <w:rPr>
                <w:rFonts w:ascii="Times New Roman" w:hAnsi="Times New Roman" w:cs="Times New Roman" w:eastAsia="Courier New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bCs/>
                <w:sz w:val="20"/>
                <w:szCs w:val="20"/>
              </w:rPr>
              <w:t xml:space="preserve">Предложение участника закупки о цене контракта</w:t>
            </w:r>
            <w:r/>
          </w:p>
        </w:tc>
        <w:tc>
          <w:tcPr>
            <w:tcW w:w="4959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 w:eastAsia="Courier New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b/>
                <w:sz w:val="20"/>
                <w:szCs w:val="20"/>
              </w:rPr>
              <w:t xml:space="preserve">Установлено.</w:t>
            </w:r>
            <w:r/>
          </w:p>
        </w:tc>
      </w:tr>
      <w:tr>
        <w:trPr/>
        <w:tc>
          <w:tcPr>
            <w:tcW w:w="601" w:type="dxa"/>
            <w:textDirection w:val="lrTb"/>
            <w:noWrap w:val="false"/>
          </w:tcPr>
          <w:p>
            <w:pPr>
              <w:pStyle w:val="669"/>
              <w:jc w:val="center"/>
              <w:rPr>
                <w:rFonts w:ascii="Times New Roman" w:hAnsi="Times New Roman" w:cs="Times New Roman" w:eastAsia="Courier New"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4.</w:t>
            </w:r>
            <w:r/>
          </w:p>
        </w:tc>
        <w:tc>
          <w:tcPr>
            <w:tcW w:w="5206" w:type="dxa"/>
            <w:textDirection w:val="lrTb"/>
            <w:noWrap w:val="false"/>
          </w:tcPr>
          <w:p>
            <w:pPr>
              <w:pStyle w:val="669"/>
              <w:jc w:val="both"/>
              <w:rPr>
                <w:rFonts w:ascii="Times New Roman" w:hAnsi="Times New Roman" w:cs="Times New Roman" w:eastAsia="Courier New"/>
              </w:rPr>
            </w:pP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И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нформация и документы, 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предусмотренные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 пунктом 2 части 2 статьи 14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 Федерального закона № 44-ФЗ.</w:t>
            </w:r>
            <w:r>
              <w:rPr>
                <w:rFonts w:ascii="Times New Roman" w:hAnsi="Times New Roman" w:cs="Times New Roman" w:eastAsia="Courier New"/>
              </w:rPr>
            </w:r>
            <w:r/>
          </w:p>
          <w:p>
            <w:pPr>
              <w:jc w:val="both"/>
              <w:rPr>
                <w:rFonts w:ascii="Times New Roman" w:hAnsi="Times New Roman" w:cs="Times New Roman" w:eastAsia="Courier New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В случае отсутствия таких информации и документов в заявке на уча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стие в закупке такая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      </w:r>
            <w:r/>
          </w:p>
        </w:tc>
        <w:tc>
          <w:tcPr>
            <w:tcW w:w="4959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 w:eastAsia="Courier New"/>
                <w:b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 w:eastAsia="Courier New"/>
                <w:b/>
                <w:bCs/>
                <w:iCs/>
                <w:sz w:val="20"/>
                <w:szCs w:val="20"/>
              </w:rPr>
              <w:t xml:space="preserve">Не</w:t>
            </w:r>
            <w:r>
              <w:rPr>
                <w:rFonts w:ascii="Times New Roman" w:hAnsi="Times New Roman" w:cs="Times New Roman" w:eastAsia="Courier New"/>
                <w:b/>
                <w:sz w:val="20"/>
                <w:szCs w:val="20"/>
              </w:rPr>
              <w:t xml:space="preserve"> установлено.</w:t>
            </w:r>
            <w:r/>
          </w:p>
        </w:tc>
      </w:tr>
      <w:tr>
        <w:trPr>
          <w:trHeight w:val="340"/>
        </w:trPr>
        <w:tc>
          <w:tcPr>
            <w:gridSpan w:val="3"/>
            <w:shd w:val="clear" w:color="auto" w:fill="D9D9D9" w:themeFill="background1" w:themeFillShade="D9"/>
            <w:tcW w:w="1077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 w:eastAsia="Courier New"/>
                <w:b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b/>
                <w:bCs/>
                <w:iCs/>
                <w:sz w:val="20"/>
                <w:szCs w:val="20"/>
              </w:rPr>
              <w:t xml:space="preserve">5.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Инструкция по заполнению заявки на участие в закупке</w:t>
            </w:r>
            <w:r/>
          </w:p>
        </w:tc>
      </w:tr>
      <w:tr>
        <w:trPr/>
        <w:tc>
          <w:tcPr>
            <w:tcW w:w="601" w:type="dxa"/>
            <w:textDirection w:val="lrTb"/>
            <w:noWrap w:val="false"/>
          </w:tcPr>
          <w:p>
            <w:pPr>
              <w:pStyle w:val="669"/>
              <w:rPr>
                <w:rFonts w:ascii="Times New Roman" w:hAnsi="Times New Roman" w:cs="Times New Roman" w:eastAsia="Courier New"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1.</w:t>
            </w:r>
            <w:r/>
          </w:p>
        </w:tc>
        <w:tc>
          <w:tcPr>
            <w:gridSpan w:val="2"/>
            <w:tcW w:w="10170" w:type="dxa"/>
            <w:textDirection w:val="lrTb"/>
            <w:noWrap w:val="false"/>
          </w:tcPr>
          <w:p>
            <w:pPr>
              <w:pStyle w:val="669"/>
              <w:ind w:firstLine="171"/>
              <w:jc w:val="both"/>
              <w:rPr>
                <w:rFonts w:ascii="Times New Roman" w:hAnsi="Times New Roman" w:cs="Times New Roman" w:eastAsia="Courier New"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1. Подать заявку на участие в закупке вправе только зарегистриров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анный в единой информационной системе и аккредитованный на электронной площадке, участник закупки путем направления такой заявки в соответствии с Федеральным законом № 44-ФЗ оператору электронной площадки, оператору специализированной электронной площадки.</w:t>
            </w:r>
            <w:r/>
          </w:p>
          <w:p>
            <w:pPr>
              <w:pStyle w:val="669"/>
              <w:ind w:firstLine="171"/>
              <w:jc w:val="both"/>
              <w:rPr>
                <w:rFonts w:ascii="Times New Roman" w:hAnsi="Times New Roman" w:cs="Times New Roman" w:eastAsia="Courier New"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2. Участник закупки вправе подать только одну заявку на участие в закупке в любое время с момента размещения в единой информационной системе извещения об осуществлении закупки, до окончания срока подачи заявок на участие в закупке.</w:t>
            </w:r>
            <w:r/>
          </w:p>
          <w:p>
            <w:pPr>
              <w:pStyle w:val="669"/>
              <w:ind w:firstLine="171"/>
              <w:jc w:val="both"/>
              <w:rPr>
                <w:rFonts w:ascii="Times New Roman" w:hAnsi="Times New Roman" w:cs="Times New Roman" w:eastAsia="Courier New"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3. Подача заявки на участие в закупке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 означает согласие участника закупки, подавшего такую заявку, на поставку товара, выполнение работы, оказание услуги на условиях, предусмотренных извещением об осуществлении закупки, и в соответствии с заявкой такого участника закупки на участие в закупке.</w:t>
            </w:r>
            <w:r/>
          </w:p>
          <w:p>
            <w:pPr>
              <w:pStyle w:val="669"/>
              <w:ind w:firstLine="171"/>
              <w:jc w:val="both"/>
              <w:rPr>
                <w:rFonts w:ascii="Times New Roman" w:hAnsi="Times New Roman" w:cs="Times New Roman" w:eastAsia="Courier New"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4. Заявка на участие в закупке должна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 быть заполнена на русском языке. Отдельные документы (или их части), предоставленные участником закупки в составе заявки на участие в закупке, могут быть подготовлены на другом языке при условии, что к ним будет прилагаться точный перевод необходимых разд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елов на русский язык. Удостоверение верности перевода с иностранного языка на русский язык осуществляется в соответствии со статьей 81 Основ законодательства Российской Федерации о нотариате, утвержденных Верховным Советом РФ 11 февраля 1993 года № 4462-1.</w:t>
            </w:r>
            <w:r/>
          </w:p>
          <w:p>
            <w:pPr>
              <w:pStyle w:val="669"/>
              <w:ind w:firstLine="171"/>
              <w:jc w:val="both"/>
              <w:rPr>
                <w:rFonts w:ascii="Times New Roman" w:hAnsi="Times New Roman" w:cs="Times New Roman" w:eastAsia="Courier New"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5. При оформлении заявки участникам закупки следует использовать общепринятые обозначения и наименования в соответствии с требованиями действующих нормативных актов. Сведения, которые содержатся в заявке, не должны допускать двусмысленных толкований. </w:t>
            </w:r>
            <w:r/>
          </w:p>
          <w:p>
            <w:pPr>
              <w:pStyle w:val="669"/>
              <w:ind w:firstLine="171"/>
              <w:jc w:val="both"/>
              <w:rPr>
                <w:rFonts w:ascii="Times New Roman" w:hAnsi="Times New Roman" w:cs="Times New Roman" w:eastAsia="Courier New"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6. Все документы, входящие в состав заявки на участие в закупке, должны иметь четко читаемый текст.</w:t>
            </w:r>
            <w:r/>
          </w:p>
          <w:p>
            <w:pPr>
              <w:pStyle w:val="669"/>
              <w:ind w:firstLine="171"/>
              <w:jc w:val="both"/>
              <w:rPr>
                <w:rFonts w:ascii="Times New Roman" w:hAnsi="Times New Roman" w:cs="Times New Roman" w:eastAsia="Courier New"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7. Характеристики предлагаемог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о участником закупки товара (в том числе поставляемого заказчику при выполнении закупаемых работ, оказании закупаемых услуг, должны соответствовать показателям, установленным в описании объекта закупки, товарный знак (при наличии у товара товарного знака).</w:t>
            </w:r>
            <w:r/>
          </w:p>
          <w:p>
            <w:pPr>
              <w:pStyle w:val="669"/>
              <w:ind w:firstLine="171"/>
              <w:jc w:val="both"/>
              <w:rPr>
                <w:rFonts w:ascii="Times New Roman" w:hAnsi="Times New Roman" w:cs="Times New Roman" w:eastAsia="Courier New"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8. Участником закупки в заявке устанавливаются характеристики и показатели товара, подлежащие указанию в заявке, соответствующие значениям, установленным в описании объекта закупки. </w:t>
            </w:r>
            <w:r/>
          </w:p>
          <w:p>
            <w:pPr>
              <w:pStyle w:val="669"/>
              <w:ind w:firstLine="171"/>
              <w:jc w:val="both"/>
              <w:rPr>
                <w:rFonts w:ascii="Times New Roman" w:hAnsi="Times New Roman" w:cs="Times New Roman" w:eastAsia="Courier New"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9. При подаче сведений относительно предложенного товара участником закупки должны применяться обозначения (характеристики и показатели товара, подлежащие указанию в заявке) в соответствии с обозначениями, установленными в описании объекта закупки. </w:t>
            </w:r>
            <w:r/>
          </w:p>
          <w:p>
            <w:pPr>
              <w:pStyle w:val="669"/>
              <w:ind w:firstLine="171"/>
              <w:rPr>
                <w:rFonts w:ascii="Times New Roman" w:hAnsi="Times New Roman" w:cs="Times New Roman" w:eastAsia="Courier New"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10. Ответственность за достоверность сведений, указанных в заявке, несет участник закупки</w:t>
            </w:r>
            <w:r/>
          </w:p>
        </w:tc>
      </w:tr>
    </w:tbl>
    <w:p>
      <w:pPr>
        <w:pStyle w:val="669"/>
        <w:jc w:val="center"/>
        <w:rPr>
          <w:rFonts w:ascii="Times New Roman" w:hAnsi="Times New Roman" w:cs="Times New Roman" w:eastAsia="Courier New"/>
          <w:sz w:val="20"/>
          <w:szCs w:val="20"/>
        </w:rPr>
      </w:pPr>
      <w:r>
        <w:rPr>
          <w:rFonts w:ascii="Times New Roman" w:hAnsi="Times New Roman" w:cs="Times New Roman" w:eastAsia="Courier New"/>
          <w:sz w:val="20"/>
          <w:szCs w:val="20"/>
        </w:rPr>
      </w:r>
      <w:r/>
    </w:p>
    <w:sectPr>
      <w:headerReference w:type="first" r:id="rId9"/>
      <w:footerReference w:type="default" r:id="rId10"/>
      <w:footnotePr/>
      <w:endnotePr/>
      <w:type w:val="nextPage"/>
      <w:pgSz w:w="11900" w:h="16840" w:orient="portrait"/>
      <w:pgMar w:top="568" w:right="800" w:bottom="426" w:left="800" w:header="720" w:footer="400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Segoe UI">
    <w:panose1 w:val="020B0502040204020203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right"/>
    </w:pPr>
    <w:r>
      <w:fldChar w:fldCharType="begin"/>
    </w:r>
    <w:r>
      <w:instrText xml:space="preserve">PAGE</w:instrText>
    </w:r>
    <w:r>
      <w:fldChar w:fldCharType="separate"/>
    </w:r>
    <w:r>
      <w:t xml:space="preserve">3</w:t>
    </w:r>
    <w:r>
      <w:fldChar w:fldCharType="end"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540" w:hanging="227"/>
        <w:tabs>
          <w:tab w:val="num" w:pos="540" w:leader="none"/>
        </w:tabs>
      </w:pPr>
      <w:rPr>
        <w:rFonts w:ascii="Symbol" w:hAnsi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1">
    <w:multiLevelType w:val="hybridMultilevel"/>
    <w:lvl w:ilvl="0">
      <w:start w:val="1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ascii="Arial" w:hAnsi="Arial" w:cs="Arial" w:eastAsia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ascii="Courier New" w:hAnsi="Courier New" w:cs="Courier New" w:eastAsia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ascii="Wingdings" w:hAnsi="Wingdings" w:cs="Wingdings" w:eastAsia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ascii="Courier New" w:hAnsi="Courier New" w:cs="Courier New" w:eastAsia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ascii="Wingdings" w:hAnsi="Wingdings" w:cs="Wingdings" w:eastAsia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ascii="Courier New" w:hAnsi="Courier New" w:cs="Courier New" w:eastAsia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ascii="Wingdings" w:hAnsi="Wingdings" w:cs="Wingdings" w:eastAsia="Wingdings"/>
      </w:rPr>
    </w:lvl>
  </w:abstractNum>
  <w:abstractNum w:abstractNumId="3">
    <w:multiLevelType w:val="hybridMultilevel"/>
    <w:lvl w:ilvl="0">
      <w:start w:val="10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0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6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3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ascii="Arial" w:hAnsi="Arial" w:cs="Arial" w:eastAsia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ascii="Courier New" w:hAnsi="Courier New" w:cs="Courier New" w:eastAsia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ascii="Wingdings" w:hAnsi="Wingdings" w:cs="Wingdings" w:eastAsia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ascii="Courier New" w:hAnsi="Courier New" w:cs="Courier New" w:eastAsia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ascii="Wingdings" w:hAnsi="Wingdings" w:cs="Wingdings" w:eastAsia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ascii="Courier New" w:hAnsi="Courier New" w:cs="Courier New" w:eastAsia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ascii="Wingdings" w:hAnsi="Wingdings" w:cs="Wingdings" w:eastAsia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)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)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5"/>
  </w:num>
  <w:num w:numId="5">
    <w:abstractNumId w:val="6"/>
  </w:num>
  <w:num w:numId="6">
    <w:abstractNumId w:val="0"/>
  </w:num>
  <w:num w:numId="7">
    <w:abstractNumId w:val="7"/>
  </w:num>
  <w:num w:numId="8">
    <w:abstractNumId w:val="2"/>
  </w:num>
  <w:num w:numId="9">
    <w:abstractNumId w:val="8"/>
  </w:num>
  <w:num w:numId="10">
    <w:abstractNumId w:val="9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,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Calibri" w:eastAsia="Calibri"/>
        <w:color w:val="auto"/>
        <w:spacing w:val="0"/>
        <w:position w:val="0"/>
        <w:sz w:val="22"/>
        <w:szCs w:val="22"/>
        <w:lang w:val="ru-RU" w:bidi="ar-SA" w:eastAsia="ru-RU"/>
      </w:rPr>
    </w:rPrDefault>
    <w:pPrDefault>
      <w:pPr>
        <w:ind w:left="0" w:right="0" w:firstLine="0"/>
        <w:jc w:val="left"/>
        <w:spacing w:lineRule="auto" w:line="259" w:after="16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489">
    <w:name w:val="Heading 1"/>
    <w:basedOn w:val="660"/>
    <w:next w:val="660"/>
    <w:link w:val="490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490">
    <w:name w:val="Heading 1 Char"/>
    <w:basedOn w:val="663"/>
    <w:link w:val="489"/>
    <w:uiPriority w:val="9"/>
    <w:rPr>
      <w:rFonts w:ascii="Arial" w:hAnsi="Arial" w:cs="Arial" w:eastAsia="Arial"/>
      <w:sz w:val="40"/>
      <w:szCs w:val="40"/>
    </w:rPr>
  </w:style>
  <w:style w:type="paragraph" w:styleId="491">
    <w:name w:val="Heading 2"/>
    <w:basedOn w:val="660"/>
    <w:next w:val="660"/>
    <w:link w:val="492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492">
    <w:name w:val="Heading 2 Char"/>
    <w:basedOn w:val="663"/>
    <w:link w:val="491"/>
    <w:uiPriority w:val="9"/>
    <w:rPr>
      <w:rFonts w:ascii="Arial" w:hAnsi="Arial" w:cs="Arial" w:eastAsia="Arial"/>
      <w:sz w:val="34"/>
    </w:rPr>
  </w:style>
  <w:style w:type="paragraph" w:styleId="493">
    <w:name w:val="Heading 3"/>
    <w:basedOn w:val="660"/>
    <w:next w:val="660"/>
    <w:link w:val="494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494">
    <w:name w:val="Heading 3 Char"/>
    <w:basedOn w:val="663"/>
    <w:link w:val="493"/>
    <w:uiPriority w:val="9"/>
    <w:rPr>
      <w:rFonts w:ascii="Arial" w:hAnsi="Arial" w:cs="Arial" w:eastAsia="Arial"/>
      <w:sz w:val="30"/>
      <w:szCs w:val="30"/>
    </w:rPr>
  </w:style>
  <w:style w:type="character" w:styleId="495">
    <w:name w:val="Heading 4 Char"/>
    <w:basedOn w:val="663"/>
    <w:link w:val="661"/>
    <w:uiPriority w:val="9"/>
    <w:rPr>
      <w:rFonts w:ascii="Arial" w:hAnsi="Arial" w:cs="Arial" w:eastAsia="Arial"/>
      <w:b/>
      <w:bCs/>
      <w:sz w:val="26"/>
      <w:szCs w:val="26"/>
    </w:rPr>
  </w:style>
  <w:style w:type="character" w:styleId="496">
    <w:name w:val="Heading 5 Char"/>
    <w:basedOn w:val="663"/>
    <w:link w:val="662"/>
    <w:uiPriority w:val="9"/>
    <w:rPr>
      <w:rFonts w:ascii="Arial" w:hAnsi="Arial" w:cs="Arial" w:eastAsia="Arial"/>
      <w:b/>
      <w:bCs/>
      <w:sz w:val="24"/>
      <w:szCs w:val="24"/>
    </w:rPr>
  </w:style>
  <w:style w:type="paragraph" w:styleId="497">
    <w:name w:val="Heading 6"/>
    <w:basedOn w:val="660"/>
    <w:next w:val="660"/>
    <w:link w:val="498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498">
    <w:name w:val="Heading 6 Char"/>
    <w:basedOn w:val="663"/>
    <w:link w:val="497"/>
    <w:uiPriority w:val="9"/>
    <w:rPr>
      <w:rFonts w:ascii="Arial" w:hAnsi="Arial" w:cs="Arial" w:eastAsia="Arial"/>
      <w:b/>
      <w:bCs/>
      <w:sz w:val="22"/>
      <w:szCs w:val="22"/>
    </w:rPr>
  </w:style>
  <w:style w:type="paragraph" w:styleId="499">
    <w:name w:val="Heading 7"/>
    <w:basedOn w:val="660"/>
    <w:next w:val="660"/>
    <w:link w:val="500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500">
    <w:name w:val="Heading 7 Char"/>
    <w:basedOn w:val="663"/>
    <w:link w:val="499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501">
    <w:name w:val="Heading 8"/>
    <w:basedOn w:val="660"/>
    <w:next w:val="660"/>
    <w:link w:val="502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502">
    <w:name w:val="Heading 8 Char"/>
    <w:basedOn w:val="663"/>
    <w:link w:val="501"/>
    <w:uiPriority w:val="9"/>
    <w:rPr>
      <w:rFonts w:ascii="Arial" w:hAnsi="Arial" w:cs="Arial" w:eastAsia="Arial"/>
      <w:i/>
      <w:iCs/>
      <w:sz w:val="22"/>
      <w:szCs w:val="22"/>
    </w:rPr>
  </w:style>
  <w:style w:type="paragraph" w:styleId="503">
    <w:name w:val="Heading 9"/>
    <w:basedOn w:val="660"/>
    <w:next w:val="660"/>
    <w:link w:val="504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504">
    <w:name w:val="Heading 9 Char"/>
    <w:basedOn w:val="663"/>
    <w:link w:val="503"/>
    <w:uiPriority w:val="9"/>
    <w:rPr>
      <w:rFonts w:ascii="Arial" w:hAnsi="Arial" w:cs="Arial" w:eastAsia="Arial"/>
      <w:i/>
      <w:iCs/>
      <w:sz w:val="21"/>
      <w:szCs w:val="21"/>
    </w:rPr>
  </w:style>
  <w:style w:type="paragraph" w:styleId="505">
    <w:name w:val="Title"/>
    <w:basedOn w:val="660"/>
    <w:next w:val="660"/>
    <w:link w:val="506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506">
    <w:name w:val="Title Char"/>
    <w:basedOn w:val="663"/>
    <w:link w:val="505"/>
    <w:uiPriority w:val="10"/>
    <w:rPr>
      <w:sz w:val="48"/>
      <w:szCs w:val="48"/>
    </w:rPr>
  </w:style>
  <w:style w:type="paragraph" w:styleId="507">
    <w:name w:val="Subtitle"/>
    <w:basedOn w:val="660"/>
    <w:next w:val="660"/>
    <w:link w:val="508"/>
    <w:qFormat/>
    <w:uiPriority w:val="11"/>
    <w:rPr>
      <w:sz w:val="24"/>
      <w:szCs w:val="24"/>
    </w:rPr>
    <w:pPr>
      <w:spacing w:after="200" w:before="200"/>
    </w:pPr>
  </w:style>
  <w:style w:type="character" w:styleId="508">
    <w:name w:val="Subtitle Char"/>
    <w:basedOn w:val="663"/>
    <w:link w:val="507"/>
    <w:uiPriority w:val="11"/>
    <w:rPr>
      <w:sz w:val="24"/>
      <w:szCs w:val="24"/>
    </w:rPr>
  </w:style>
  <w:style w:type="paragraph" w:styleId="509">
    <w:name w:val="Quote"/>
    <w:basedOn w:val="660"/>
    <w:next w:val="660"/>
    <w:link w:val="510"/>
    <w:qFormat/>
    <w:uiPriority w:val="29"/>
    <w:rPr>
      <w:i/>
    </w:rPr>
    <w:pPr>
      <w:ind w:left="720" w:right="720"/>
    </w:pPr>
  </w:style>
  <w:style w:type="character" w:styleId="510">
    <w:name w:val="Quote Char"/>
    <w:link w:val="509"/>
    <w:uiPriority w:val="29"/>
    <w:rPr>
      <w:i/>
    </w:rPr>
  </w:style>
  <w:style w:type="paragraph" w:styleId="511">
    <w:name w:val="Intense Quote"/>
    <w:basedOn w:val="660"/>
    <w:next w:val="660"/>
    <w:link w:val="512"/>
    <w:qFormat/>
    <w:uiPriority w:val="30"/>
    <w:rPr>
      <w:i/>
    </w:rPr>
    <w:pPr>
      <w:contextualSpacing w:val="false"/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512">
    <w:name w:val="Intense Quote Char"/>
    <w:link w:val="511"/>
    <w:uiPriority w:val="30"/>
    <w:rPr>
      <w:i/>
    </w:rPr>
  </w:style>
  <w:style w:type="paragraph" w:styleId="513">
    <w:name w:val="Header"/>
    <w:basedOn w:val="660"/>
    <w:link w:val="514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514">
    <w:name w:val="Header Char"/>
    <w:basedOn w:val="663"/>
    <w:link w:val="513"/>
    <w:uiPriority w:val="99"/>
  </w:style>
  <w:style w:type="paragraph" w:styleId="515">
    <w:name w:val="Footer"/>
    <w:basedOn w:val="660"/>
    <w:link w:val="518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516">
    <w:name w:val="Footer Char"/>
    <w:basedOn w:val="663"/>
    <w:link w:val="515"/>
    <w:uiPriority w:val="99"/>
  </w:style>
  <w:style w:type="paragraph" w:styleId="517">
    <w:name w:val="Caption"/>
    <w:basedOn w:val="660"/>
    <w:next w:val="660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518">
    <w:name w:val="Caption Char"/>
    <w:basedOn w:val="517"/>
    <w:link w:val="515"/>
    <w:uiPriority w:val="99"/>
  </w:style>
  <w:style w:type="table" w:styleId="519">
    <w:name w:val="Table Grid Light"/>
    <w:basedOn w:val="664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20">
    <w:name w:val="Plain Table 1"/>
    <w:basedOn w:val="664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1">
    <w:name w:val="Plain Table 2"/>
    <w:basedOn w:val="664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2">
    <w:name w:val="Plain Table 3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3">
    <w:name w:val="Plain Table 4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4">
    <w:name w:val="Plain Table 5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25">
    <w:name w:val="Grid Table 1 Light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6">
    <w:name w:val="Grid Table 1 Light - Accent 1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7">
    <w:name w:val="Grid Table 1 Light - Accent 2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8">
    <w:name w:val="Grid Table 1 Light - Accent 3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9">
    <w:name w:val="Grid Table 1 Light - Accent 4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0">
    <w:name w:val="Grid Table 1 Light - Accent 5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1">
    <w:name w:val="Grid Table 1 Light - Accent 6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2">
    <w:name w:val="Grid Table 2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533">
    <w:name w:val="Grid Table 2 - Accent 1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534">
    <w:name w:val="Grid Table 2 - Accent 2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535">
    <w:name w:val="Grid Table 2 - Accent 3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536">
    <w:name w:val="Grid Table 2 - Accent 4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537">
    <w:name w:val="Grid Table 2 - Accent 5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538">
    <w:name w:val="Grid Table 2 - Accent 6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539">
    <w:name w:val="Grid Table 3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40">
    <w:name w:val="Grid Table 3 - Accent 1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41">
    <w:name w:val="Grid Table 3 - Accent 2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42">
    <w:name w:val="Grid Table 3 - Accent 3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43">
    <w:name w:val="Grid Table 3 - Accent 4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44">
    <w:name w:val="Grid Table 3 - Accent 5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45">
    <w:name w:val="Grid Table 3 - Accent 6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46">
    <w:name w:val="Grid Table 4"/>
    <w:basedOn w:val="66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547">
    <w:name w:val="Grid Table 4 - Accent 1"/>
    <w:basedOn w:val="66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 w:themeFill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548">
    <w:name w:val="Grid Table 4 - Accent 2"/>
    <w:basedOn w:val="66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549">
    <w:name w:val="Grid Table 4 - Accent 3"/>
    <w:basedOn w:val="66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550">
    <w:name w:val="Grid Table 4 - Accent 4"/>
    <w:basedOn w:val="66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551">
    <w:name w:val="Grid Table 4 - Accent 5"/>
    <w:basedOn w:val="66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552">
    <w:name w:val="Grid Table 4 - Accent 6"/>
    <w:basedOn w:val="66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553">
    <w:name w:val="Grid Table 5 Dark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text1" w:themeFillTint="40"/>
    </w:tblPr>
    <w:tblStylePr w:type="band1Horz">
      <w:tcPr>
        <w:shd w:val="clear" w:color="auto" w:fill="FFFFFF" w:themeFill="text1" w:themeFillTint="75"/>
      </w:tcPr>
    </w:tblStylePr>
    <w:tblStylePr w:type="band1Vert">
      <w:tcPr>
        <w:shd w:val="clear" w:color="auto" w:fill="FFFFFF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top w:val="single" w:color="000000" w:sz="4" w:space="0" w:themeColor="light1"/>
        </w:tcBorders>
      </w:tcPr>
    </w:tblStylePr>
  </w:style>
  <w:style w:type="table" w:styleId="554">
    <w:name w:val="Grid Table 5 Dark- Accent 1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1" w:themeFillTint="34"/>
    </w:tblPr>
    <w:tblStylePr w:type="band1Horz">
      <w:tcPr>
        <w:shd w:val="clear" w:color="auto" w:fill="FFFFFF" w:themeFill="accent1" w:themeFillTint="75"/>
      </w:tcPr>
    </w:tblStylePr>
    <w:tblStylePr w:type="band1Vert">
      <w:tcPr>
        <w:shd w:val="clear" w:color="auto" w:fill="FFFFFF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1"/>
        <w:tcBorders>
          <w:top w:val="single" w:color="000000" w:sz="4" w:space="0" w:themeColor="light1"/>
        </w:tcBorders>
      </w:tcPr>
    </w:tblStylePr>
  </w:style>
  <w:style w:type="table" w:styleId="555">
    <w:name w:val="Grid Table 5 Dark - Accent 2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2" w:themeFillTint="32"/>
    </w:tblPr>
    <w:tblStylePr w:type="band1Horz">
      <w:tcPr>
        <w:shd w:val="clear" w:color="auto" w:fill="FFFFFF" w:themeFill="accent2" w:themeFillTint="75"/>
      </w:tcPr>
    </w:tblStylePr>
    <w:tblStylePr w:type="band1Vert">
      <w:tcPr>
        <w:shd w:val="clear" w:color="auto" w:fill="FFFFFF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2"/>
        <w:tcBorders>
          <w:top w:val="single" w:color="000000" w:sz="4" w:space="0" w:themeColor="light1"/>
        </w:tcBorders>
      </w:tcPr>
    </w:tblStylePr>
  </w:style>
  <w:style w:type="table" w:styleId="556">
    <w:name w:val="Grid Table 5 Dark - Accent 3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3" w:themeFillTint="34"/>
    </w:tblPr>
    <w:tblStylePr w:type="band1Horz">
      <w:tcPr>
        <w:shd w:val="clear" w:color="auto" w:fill="FFFFFF" w:themeFill="accent3" w:themeFillTint="75"/>
      </w:tcPr>
    </w:tblStylePr>
    <w:tblStylePr w:type="band1Vert">
      <w:tcPr>
        <w:shd w:val="clear" w:color="auto" w:fill="FFFFFF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3"/>
        <w:tcBorders>
          <w:top w:val="single" w:color="000000" w:sz="4" w:space="0" w:themeColor="light1"/>
        </w:tcBorders>
      </w:tcPr>
    </w:tblStylePr>
  </w:style>
  <w:style w:type="table" w:styleId="557">
    <w:name w:val="Grid Table 5 Dark- Accent 4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4" w:themeFillTint="34"/>
    </w:tblPr>
    <w:tblStylePr w:type="band1Horz">
      <w:tcPr>
        <w:shd w:val="clear" w:color="auto" w:fill="FFFFFF" w:themeFill="accent4" w:themeFillTint="75"/>
      </w:tcPr>
    </w:tblStylePr>
    <w:tblStylePr w:type="band1Vert">
      <w:tcPr>
        <w:shd w:val="clear" w:color="auto" w:fill="FFFFFF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4"/>
        <w:tcBorders>
          <w:top w:val="single" w:color="000000" w:sz="4" w:space="0" w:themeColor="light1"/>
        </w:tcBorders>
      </w:tcPr>
    </w:tblStylePr>
  </w:style>
  <w:style w:type="table" w:styleId="558">
    <w:name w:val="Grid Table 5 Dark - Accent 5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5" w:themeFillTint="34"/>
    </w:tblPr>
    <w:tblStylePr w:type="band1Horz">
      <w:tcPr>
        <w:shd w:val="clear" w:color="auto" w:fill="FFFFFF" w:themeFill="accent5" w:themeFillTint="75"/>
      </w:tcPr>
    </w:tblStylePr>
    <w:tblStylePr w:type="band1Vert">
      <w:tcPr>
        <w:shd w:val="clear" w:color="auto" w:fill="FFFFFF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top w:val="single" w:color="000000" w:sz="4" w:space="0" w:themeColor="light1"/>
        </w:tcBorders>
      </w:tcPr>
    </w:tblStylePr>
  </w:style>
  <w:style w:type="table" w:styleId="559">
    <w:name w:val="Grid Table 5 Dark - Accent 6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6" w:themeFillTint="34"/>
    </w:tblPr>
    <w:tblStylePr w:type="band1Horz">
      <w:tcPr>
        <w:shd w:val="clear" w:color="auto" w:fill="FFFFFF" w:themeFill="accent6" w:themeFillTint="75"/>
      </w:tcPr>
    </w:tblStylePr>
    <w:tblStylePr w:type="band1Vert">
      <w:tcPr>
        <w:shd w:val="clear" w:color="auto" w:fill="FFFFFF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top w:val="single" w:color="000000" w:sz="4" w:space="0" w:themeColor="light1"/>
        </w:tcBorders>
      </w:tcPr>
    </w:tblStylePr>
  </w:style>
  <w:style w:type="table" w:styleId="560">
    <w:name w:val="Grid Table 6 Colorful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auto" w:fill="FFFFFF" w:themeFill="text1" w:themeFillTint="34"/>
      </w:tcPr>
    </w:tblStylePr>
    <w:tblStylePr w:type="band1Vert">
      <w:tcPr>
        <w:shd w:val="clear" w:color="auto" w:fill="FFFFFF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561">
    <w:name w:val="Grid Table 6 Colorful - Accent 1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562">
    <w:name w:val="Grid Table 6 Colorful - Accent 2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563">
    <w:name w:val="Grid Table 6 Colorful - Accent 3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564">
    <w:name w:val="Grid Table 6 Colorful - Accent 4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565">
    <w:name w:val="Grid Table 6 Colorful - Accent 5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566">
    <w:name w:val="Grid Table 6 Colorful - Accent 6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567">
    <w:name w:val="Grid Table 7 Colorful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568">
    <w:name w:val="Grid Table 7 Colorful - Accent 1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auto" w:fill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569">
    <w:name w:val="Grid Table 7 Colorful - Accent 2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auto" w:fill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570">
    <w:name w:val="Grid Table 7 Colorful - Accent 3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auto" w:fill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571">
    <w:name w:val="Grid Table 7 Colorful - Accent 4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auto" w:fill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572">
    <w:name w:val="Grid Table 7 Colorful - Accent 5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auto" w:fill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573">
    <w:name w:val="Grid Table 7 Colorful - Accent 6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auto" w:fill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574">
    <w:name w:val="List Table 1 Light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575">
    <w:name w:val="List Table 1 Light - Accent 1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576">
    <w:name w:val="List Table 1 Light - Accent 2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577">
    <w:name w:val="List Table 1 Light - Accent 3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578">
    <w:name w:val="List Table 1 Light - Accent 4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579">
    <w:name w:val="List Table 1 Light - Accent 5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580">
    <w:name w:val="List Table 1 Light - Accent 6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581">
    <w:name w:val="List Table 2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582">
    <w:name w:val="List Table 2 - Accent 1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583">
    <w:name w:val="List Table 2 - Accent 2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584">
    <w:name w:val="List Table 2 - Accent 3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585">
    <w:name w:val="List Table 2 - Accent 4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586">
    <w:name w:val="List Table 2 - Accent 5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587">
    <w:name w:val="List Table 2 - Accent 6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588">
    <w:name w:val="List Table 3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9">
    <w:name w:val="List Table 3 - Accent 1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0">
    <w:name w:val="List Table 3 - Accent 2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1">
    <w:name w:val="List Table 3 - Accent 3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2">
    <w:name w:val="List Table 3 - Accent 4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3">
    <w:name w:val="List Table 3 - Accent 5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4">
    <w:name w:val="List Table 3 - Accent 6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5">
    <w:name w:val="List Table 4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6">
    <w:name w:val="List Table 4 - Accent 1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7">
    <w:name w:val="List Table 4 - Accent 2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8">
    <w:name w:val="List Table 4 - Accent 3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9">
    <w:name w:val="List Table 4 - Accent 4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0">
    <w:name w:val="List Table 4 - Accent 5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1">
    <w:name w:val="List Table 4 - Accent 6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2">
    <w:name w:val="List Table 5 Dark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auto" w:fill="FFFFFF" w:themeFill="text1" w:themeFillTint="80"/>
    </w:tblPr>
    <w:tblStylePr w:type="band1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text1" w:themeFill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text1" w:themeFill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03">
    <w:name w:val="List Table 5 Dark - Accent 1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auto" w:fill="FFFFFF" w:themeFill="accent1"/>
    </w:tblPr>
    <w:tblStylePr w:type="band1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04">
    <w:name w:val="List Table 5 Dark - Accent 2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auto" w:fill="FFFFFF" w:themeFill="accent2" w:themeFillTint="97"/>
    </w:tblPr>
    <w:tblStylePr w:type="band1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2" w:themeFill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2" w:themeFill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05">
    <w:name w:val="List Table 5 Dark - Accent 3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auto" w:fill="FFFFFF" w:themeFill="accent3" w:themeFillTint="98"/>
    </w:tblPr>
    <w:tblStylePr w:type="band1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3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3" w:themeFill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06">
    <w:name w:val="List Table 5 Dark - Accent 4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auto" w:fill="FFFFFF" w:themeFill="accent4" w:themeFillTint="9A"/>
    </w:tblPr>
    <w:tblStylePr w:type="band1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4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4" w:themeFill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07">
    <w:name w:val="List Table 5 Dark - Accent 5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auto" w:fill="FFFFFF" w:themeFill="accent5" w:themeFillTint="9A"/>
    </w:tblPr>
    <w:tblStylePr w:type="band1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5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5" w:themeFill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08">
    <w:name w:val="List Table 5 Dark - Accent 6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auto" w:fill="FFFFFF" w:themeFill="accent6" w:themeFillTint="98"/>
    </w:tblPr>
    <w:tblStylePr w:type="band1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6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6" w:themeFill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09">
    <w:name w:val="List Table 6 Colorful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610">
    <w:name w:val="List Table 6 Colorful - Accent 1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611">
    <w:name w:val="List Table 6 Colorful - Accent 2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612">
    <w:name w:val="List Table 6 Colorful - Accent 3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613">
    <w:name w:val="List Table 6 Colorful - Accent 4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614">
    <w:name w:val="List Table 6 Colorful - Accent 5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615">
    <w:name w:val="List Table 6 Colorful - Accent 6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616">
    <w:name w:val="List Table 7 Colorful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617">
    <w:name w:val="List Table 7 Colorful - Accent 1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auto" w:fill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618">
    <w:name w:val="List Table 7 Colorful - Accent 2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auto" w:fill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619">
    <w:name w:val="List Table 7 Colorful - Accent 3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auto" w:fill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620">
    <w:name w:val="List Table 7 Colorful - Accent 4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auto" w:fill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621">
    <w:name w:val="List Table 7 Colorful - Accent 5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auto" w:fill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622">
    <w:name w:val="List Table 7 Colorful - Accent 6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auto" w:fill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623">
    <w:name w:val="Lined - Accent"/>
    <w:basedOn w:val="66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624">
    <w:name w:val="Lined - Accent 1"/>
    <w:basedOn w:val="66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625">
    <w:name w:val="Lined - Accent 2"/>
    <w:basedOn w:val="66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626">
    <w:name w:val="Lined - Accent 3"/>
    <w:basedOn w:val="66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627">
    <w:name w:val="Lined - Accent 4"/>
    <w:basedOn w:val="66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628">
    <w:name w:val="Lined - Accent 5"/>
    <w:basedOn w:val="66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629">
    <w:name w:val="Lined - Accent 6"/>
    <w:basedOn w:val="66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630">
    <w:name w:val="Bordered &amp; Lined - Accent"/>
    <w:basedOn w:val="66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631">
    <w:name w:val="Bordered &amp; Lined - Accent 1"/>
    <w:basedOn w:val="66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632">
    <w:name w:val="Bordered &amp; Lined - Accent 2"/>
    <w:basedOn w:val="66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633">
    <w:name w:val="Bordered &amp; Lined - Accent 3"/>
    <w:basedOn w:val="66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634">
    <w:name w:val="Bordered &amp; Lined - Accent 4"/>
    <w:basedOn w:val="66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635">
    <w:name w:val="Bordered &amp; Lined - Accent 5"/>
    <w:basedOn w:val="66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636">
    <w:name w:val="Bordered &amp; Lined - Accent 6"/>
    <w:basedOn w:val="66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637">
    <w:name w:val="Bordered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638">
    <w:name w:val="Bordered - Accent 1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639">
    <w:name w:val="Bordered - Accent 2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640">
    <w:name w:val="Bordered - Accent 3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641">
    <w:name w:val="Bordered - Accent 4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642">
    <w:name w:val="Bordered - Accent 5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643">
    <w:name w:val="Bordered - Accent 6"/>
    <w:basedOn w:val="6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paragraph" w:styleId="644">
    <w:name w:val="footnote text"/>
    <w:basedOn w:val="660"/>
    <w:link w:val="645"/>
    <w:uiPriority w:val="99"/>
    <w:semiHidden/>
    <w:unhideWhenUsed/>
    <w:rPr>
      <w:sz w:val="18"/>
    </w:rPr>
    <w:pPr>
      <w:spacing w:lineRule="auto" w:line="240" w:after="40"/>
    </w:pPr>
  </w:style>
  <w:style w:type="character" w:styleId="645">
    <w:name w:val="Footnote Text Char"/>
    <w:link w:val="644"/>
    <w:uiPriority w:val="99"/>
    <w:rPr>
      <w:sz w:val="18"/>
    </w:rPr>
  </w:style>
  <w:style w:type="character" w:styleId="646">
    <w:name w:val="footnote reference"/>
    <w:basedOn w:val="663"/>
    <w:uiPriority w:val="99"/>
    <w:unhideWhenUsed/>
    <w:rPr>
      <w:vertAlign w:val="superscript"/>
    </w:rPr>
  </w:style>
  <w:style w:type="paragraph" w:styleId="647">
    <w:name w:val="endnote text"/>
    <w:basedOn w:val="660"/>
    <w:link w:val="648"/>
    <w:uiPriority w:val="99"/>
    <w:semiHidden/>
    <w:unhideWhenUsed/>
    <w:rPr>
      <w:sz w:val="20"/>
    </w:rPr>
    <w:pPr>
      <w:spacing w:lineRule="auto" w:line="240" w:after="0"/>
    </w:pPr>
  </w:style>
  <w:style w:type="character" w:styleId="648">
    <w:name w:val="Endnote Text Char"/>
    <w:link w:val="647"/>
    <w:uiPriority w:val="99"/>
    <w:rPr>
      <w:sz w:val="20"/>
    </w:rPr>
  </w:style>
  <w:style w:type="character" w:styleId="649">
    <w:name w:val="endnote reference"/>
    <w:basedOn w:val="663"/>
    <w:uiPriority w:val="99"/>
    <w:semiHidden/>
    <w:unhideWhenUsed/>
    <w:rPr>
      <w:vertAlign w:val="superscript"/>
    </w:rPr>
  </w:style>
  <w:style w:type="paragraph" w:styleId="650">
    <w:name w:val="toc 1"/>
    <w:basedOn w:val="660"/>
    <w:next w:val="660"/>
    <w:uiPriority w:val="39"/>
    <w:unhideWhenUsed/>
    <w:pPr>
      <w:ind w:left="0" w:right="0" w:firstLine="0"/>
      <w:spacing w:after="57"/>
    </w:pPr>
  </w:style>
  <w:style w:type="paragraph" w:styleId="651">
    <w:name w:val="toc 2"/>
    <w:basedOn w:val="660"/>
    <w:next w:val="660"/>
    <w:uiPriority w:val="39"/>
    <w:unhideWhenUsed/>
    <w:pPr>
      <w:ind w:left="283" w:right="0" w:firstLine="0"/>
      <w:spacing w:after="57"/>
    </w:pPr>
  </w:style>
  <w:style w:type="paragraph" w:styleId="652">
    <w:name w:val="toc 3"/>
    <w:basedOn w:val="660"/>
    <w:next w:val="660"/>
    <w:uiPriority w:val="39"/>
    <w:unhideWhenUsed/>
    <w:pPr>
      <w:ind w:left="567" w:right="0" w:firstLine="0"/>
      <w:spacing w:after="57"/>
    </w:pPr>
  </w:style>
  <w:style w:type="paragraph" w:styleId="653">
    <w:name w:val="toc 4"/>
    <w:basedOn w:val="660"/>
    <w:next w:val="660"/>
    <w:uiPriority w:val="39"/>
    <w:unhideWhenUsed/>
    <w:pPr>
      <w:ind w:left="850" w:right="0" w:firstLine="0"/>
      <w:spacing w:after="57"/>
    </w:pPr>
  </w:style>
  <w:style w:type="paragraph" w:styleId="654">
    <w:name w:val="toc 5"/>
    <w:basedOn w:val="660"/>
    <w:next w:val="660"/>
    <w:uiPriority w:val="39"/>
    <w:unhideWhenUsed/>
    <w:pPr>
      <w:ind w:left="1134" w:right="0" w:firstLine="0"/>
      <w:spacing w:after="57"/>
    </w:pPr>
  </w:style>
  <w:style w:type="paragraph" w:styleId="655">
    <w:name w:val="toc 6"/>
    <w:basedOn w:val="660"/>
    <w:next w:val="660"/>
    <w:uiPriority w:val="39"/>
    <w:unhideWhenUsed/>
    <w:pPr>
      <w:ind w:left="1417" w:right="0" w:firstLine="0"/>
      <w:spacing w:after="57"/>
    </w:pPr>
  </w:style>
  <w:style w:type="paragraph" w:styleId="656">
    <w:name w:val="toc 7"/>
    <w:basedOn w:val="660"/>
    <w:next w:val="660"/>
    <w:uiPriority w:val="39"/>
    <w:unhideWhenUsed/>
    <w:pPr>
      <w:ind w:left="1701" w:right="0" w:firstLine="0"/>
      <w:spacing w:after="57"/>
    </w:pPr>
  </w:style>
  <w:style w:type="paragraph" w:styleId="657">
    <w:name w:val="toc 8"/>
    <w:basedOn w:val="660"/>
    <w:next w:val="660"/>
    <w:uiPriority w:val="39"/>
    <w:unhideWhenUsed/>
    <w:pPr>
      <w:ind w:left="1984" w:right="0" w:firstLine="0"/>
      <w:spacing w:after="57"/>
    </w:pPr>
  </w:style>
  <w:style w:type="paragraph" w:styleId="658">
    <w:name w:val="toc 9"/>
    <w:basedOn w:val="660"/>
    <w:next w:val="660"/>
    <w:uiPriority w:val="39"/>
    <w:unhideWhenUsed/>
    <w:pPr>
      <w:ind w:left="2268" w:right="0" w:firstLine="0"/>
      <w:spacing w:after="57"/>
    </w:pPr>
  </w:style>
  <w:style w:type="paragraph" w:styleId="659">
    <w:name w:val="TOC Heading"/>
    <w:uiPriority w:val="39"/>
    <w:unhideWhenUsed/>
  </w:style>
  <w:style w:type="paragraph" w:styleId="660" w:default="1">
    <w:name w:val="Normal"/>
    <w:qFormat/>
  </w:style>
  <w:style w:type="paragraph" w:styleId="661">
    <w:name w:val="Heading 4"/>
    <w:basedOn w:val="660"/>
    <w:next w:val="660"/>
    <w:link w:val="673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paragraph" w:styleId="662">
    <w:name w:val="Heading 5"/>
    <w:basedOn w:val="660"/>
    <w:next w:val="660"/>
    <w:link w:val="671"/>
    <w:qFormat/>
    <w:rPr>
      <w:rFonts w:ascii="Times New Roman" w:hAnsi="Times New Roman" w:cs="Times New Roman" w:eastAsia="Times New Roman"/>
      <w:b/>
      <w:sz w:val="28"/>
      <w:szCs w:val="20"/>
    </w:rPr>
    <w:pPr>
      <w:jc w:val="center"/>
      <w:keepNext/>
      <w:spacing w:lineRule="auto" w:line="240" w:after="0"/>
      <w:outlineLvl w:val="4"/>
    </w:pPr>
  </w:style>
  <w:style w:type="character" w:styleId="663" w:default="1">
    <w:name w:val="Default Paragraph Font"/>
    <w:uiPriority w:val="1"/>
    <w:semiHidden/>
    <w:unhideWhenUsed/>
  </w:style>
  <w:style w:type="table" w:styleId="66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65" w:default="1">
    <w:name w:val="No List"/>
    <w:uiPriority w:val="99"/>
    <w:semiHidden/>
    <w:unhideWhenUsed/>
  </w:style>
  <w:style w:type="paragraph" w:styleId="666">
    <w:name w:val="Balloon Text"/>
    <w:basedOn w:val="660"/>
    <w:link w:val="667"/>
    <w:uiPriority w:val="99"/>
    <w:semiHidden/>
    <w:unhideWhenUsed/>
    <w:rPr>
      <w:rFonts w:ascii="Segoe UI" w:hAnsi="Segoe UI" w:cs="Segoe UI"/>
      <w:sz w:val="18"/>
      <w:szCs w:val="18"/>
    </w:rPr>
    <w:pPr>
      <w:spacing w:lineRule="auto" w:line="240" w:after="0"/>
    </w:pPr>
  </w:style>
  <w:style w:type="character" w:styleId="667" w:customStyle="1">
    <w:name w:val="Текст выноски Знак"/>
    <w:basedOn w:val="663"/>
    <w:link w:val="666"/>
    <w:uiPriority w:val="99"/>
    <w:semiHidden/>
    <w:rPr>
      <w:rFonts w:ascii="Segoe UI" w:hAnsi="Segoe UI" w:cs="Segoe UI"/>
      <w:sz w:val="18"/>
      <w:szCs w:val="18"/>
    </w:rPr>
  </w:style>
  <w:style w:type="paragraph" w:styleId="668">
    <w:name w:val="List Paragraph"/>
    <w:basedOn w:val="660"/>
    <w:qFormat/>
    <w:uiPriority w:val="34"/>
    <w:pPr>
      <w:contextualSpacing w:val="true"/>
      <w:ind w:left="720"/>
    </w:pPr>
  </w:style>
  <w:style w:type="paragraph" w:styleId="669">
    <w:name w:val="No Spacing"/>
    <w:qFormat/>
    <w:uiPriority w:val="1"/>
    <w:pPr>
      <w:spacing w:lineRule="auto" w:line="240" w:after="0"/>
    </w:pPr>
  </w:style>
  <w:style w:type="paragraph" w:styleId="670" w:customStyle="1">
    <w:name w:val="docdata"/>
    <w:basedOn w:val="660"/>
    <w:rPr>
      <w:rFonts w:ascii="Times New Roman" w:hAnsi="Times New Roman" w:cs="Times New Roman" w:eastAsia="Times New Roman"/>
      <w:sz w:val="24"/>
      <w:szCs w:val="24"/>
    </w:rPr>
    <w:pPr>
      <w:spacing w:lineRule="auto" w:line="240" w:after="100" w:afterAutospacing="1" w:before="100" w:beforeAutospacing="1"/>
    </w:pPr>
  </w:style>
  <w:style w:type="character" w:styleId="671" w:customStyle="1">
    <w:name w:val="Заголовок 5 Знак"/>
    <w:basedOn w:val="663"/>
    <w:link w:val="662"/>
    <w:uiPriority w:val="9"/>
    <w:rPr>
      <w:rFonts w:ascii="Times New Roman" w:hAnsi="Times New Roman" w:cs="Times New Roman" w:eastAsia="Times New Roman"/>
      <w:b/>
      <w:sz w:val="28"/>
      <w:szCs w:val="20"/>
    </w:rPr>
  </w:style>
  <w:style w:type="table" w:styleId="672">
    <w:name w:val="Table Grid"/>
    <w:basedOn w:val="664"/>
    <w:uiPriority w:val="39"/>
    <w:pPr>
      <w:spacing w:lineRule="auto" w:line="240" w:after="0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  <w:style w:type="character" w:styleId="673" w:customStyle="1">
    <w:name w:val="Заголовок 4 Знак"/>
    <w:basedOn w:val="663"/>
    <w:link w:val="661"/>
    <w:uiPriority w:val="9"/>
    <w:rPr>
      <w:rFonts w:ascii="Arial" w:hAnsi="Arial" w:cs="Arial" w:eastAsia="Arial"/>
      <w:b/>
      <w:bCs/>
      <w:sz w:val="26"/>
      <w:szCs w:val="26"/>
    </w:rPr>
  </w:style>
  <w:style w:type="character" w:styleId="674">
    <w:name w:val="Hyperlink"/>
    <w:basedOn w:val="663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Р7-Офис/6.0.1.37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revision>12</cp:revision>
  <dcterms:created xsi:type="dcterms:W3CDTF">2024-10-22T06:56:00Z</dcterms:created>
  <dcterms:modified xsi:type="dcterms:W3CDTF">2025-05-27T13:00:31Z</dcterms:modified>
</cp:coreProperties>
</file>