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margin" w:tblpXSpec="left" w:vertAnchor="margin" w:tblpY="1183" w:leftFromText="180" w:topFromText="0" w:rightFromText="180" w:bottomFromText="0"/>
        <w:tblW w:w="9639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6662"/>
      </w:tblGrid>
      <w:tr>
        <w:trPr>
          <w:trHeight w:val="2218"/>
        </w:trPr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639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 w:cs="Times New Roman" w:eastAsia="SimSun"/>
                <w:b/>
                <w:bCs/>
                <w:lang w:eastAsia="ar-SA"/>
              </w:rPr>
            </w:pPr>
            <w:r>
              <w:rPr>
                <w:rFonts w:ascii="Times New Roman" w:hAnsi="Times New Roman" w:cs="Times New Roman" w:eastAsia="SimSun"/>
                <w:b/>
                <w:bCs/>
                <w:lang w:eastAsia="ar-SA"/>
              </w:rPr>
            </w:r>
            <w:r/>
          </w:p>
          <w:p>
            <w:pPr>
              <w:ind w:left="-114" w:right="-1"/>
              <w:jc w:val="center"/>
              <w:spacing w:lineRule="auto" w:line="240" w:after="0"/>
              <w:shd w:val="clear" w:color="auto" w:fill="FFFFFF"/>
              <w:rPr>
                <w:rFonts w:ascii="Times New Roman" w:hAnsi="Times New Roman" w:cs="Times New Roman" w:eastAsia="Times New Roman"/>
                <w:b/>
                <w:spacing w:val="1"/>
                <w:sz w:val="28"/>
                <w:szCs w:val="28"/>
                <w:lang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  <w:outlineLvl w:val="0"/>
            </w:pPr>
            <w:r>
              <w:rPr>
                <w:rFonts w:ascii="Times New Roman" w:hAnsi="Times New Roman" w:cs="Times New Roman" w:eastAsia="Times New Roman"/>
                <w:b/>
                <w:spacing w:val="1"/>
                <w:sz w:val="28"/>
                <w:szCs w:val="28"/>
                <w:lang w:eastAsia="ru-RU"/>
              </w:rPr>
              <w:t xml:space="preserve">ОПИСАНИЕ ОБЪЕКТА ЗАКУПКИ </w:t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 w:cs="Times New Roman" w:eastAsia="SimSu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 w:eastAsia="SimSun"/>
                <w:b/>
                <w:bCs/>
                <w:sz w:val="28"/>
                <w:szCs w:val="28"/>
                <w:lang w:eastAsia="ar-SA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 w:cs="Times New Roman" w:eastAsia="SimSu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="SimSun"/>
                <w:sz w:val="28"/>
                <w:szCs w:val="28"/>
                <w:lang w:eastAsia="ar-SA"/>
              </w:rPr>
              <w:t xml:space="preserve">на </w:t>
            </w:r>
            <w:r>
              <w:t xml:space="preserve"> </w:t>
            </w:r>
            <w:r>
              <w:rPr>
                <w:rFonts w:ascii="Times New Roman" w:hAnsi="Times New Roman" w:cs="Arial Unicode MS" w:eastAsia="Arial Unicode MS"/>
                <w:color w:val="000000"/>
                <w:sz w:val="28"/>
                <w:szCs w:val="28"/>
                <w:lang w:eastAsia="ru-RU"/>
              </w:rPr>
              <w:t xml:space="preserve">в</w:t>
            </w:r>
            <w:r>
              <w:rPr>
                <w:rFonts w:ascii="Times New Roman" w:hAnsi="Times New Roman" w:cs="Arial Unicode MS" w:eastAsia="Arial Unicode MS"/>
                <w:color w:val="000000"/>
                <w:sz w:val="28"/>
                <w:szCs w:val="28"/>
                <w:lang w:eastAsia="ru-RU"/>
              </w:rPr>
              <w:t xml:space="preserve">ыполнение работ по сохранению объекта культурного наследия «Школа» 2-я пол. XIX в., входящего в состав объекта культурного наследия федерального значения «Усадьба «Высокое» 2-я пол. XIX в. (Смоленская область)</w:t>
            </w: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  <w:lang w:bidi="hi-IN" w:eastAsia="zh-CN"/>
              </w:rPr>
            </w:r>
            <w:r/>
          </w:p>
        </w:tc>
      </w:tr>
      <w:tr>
        <w:trPr>
          <w:trHeight w:val="84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left="66" w:right="-1"/>
              <w:jc w:val="both"/>
              <w:spacing w:lineRule="exact" w:line="278" w:after="160"/>
              <w:widowControl w:val="off"/>
              <w:tabs>
                <w:tab w:val="num" w:pos="720" w:leader="none"/>
                <w:tab w:val="num" w:pos="2621" w:leader="none"/>
              </w:tabs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val="en-US"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val="en-US" w:bidi="hi-IN" w:eastAsia="zh-CN"/>
              </w:rPr>
              <w:t xml:space="preserve">1.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Основание проведения конкурса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val="en-US" w:bidi="hi-IN" w:eastAsia="zh-CN"/>
              </w:rPr>
              <w:t xml:space="preserve">: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right="-1"/>
              <w:jc w:val="both"/>
              <w:spacing w:lineRule="auto" w:line="256" w:after="0"/>
              <w:rPr>
                <w:rFonts w:ascii="Times New Roman" w:hAnsi="Times New Roman" w:cs="Times New Roman" w:eastAsia="Calibri"/>
                <w:color w:val="000000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  <w:lang w:bidi="hi-IN" w:eastAsia="zh-CN"/>
              </w:rPr>
              <w:t xml:space="preserve">Сохранение 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объекта культурного наследия федерального значения «Школа», 2-я пол. 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val="en-US" w:eastAsia="zh-CN"/>
              </w:rPr>
              <w:t xml:space="preserve">XIX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в.,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 расположенного по адресу (местонахождение): Смоленская область, 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Новодугинский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 район, с. Высокое, ул. 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Высоковская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, д. 11, входящего в состав объекта культурного наследия федерального значения «Усадьба «Высокое», 2-я пол. 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val="en-US" w:eastAsia="zh-CN"/>
              </w:rPr>
              <w:t xml:space="preserve">XIX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 в</w:t>
            </w: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  <w:lang w:bidi="hi-IN" w:eastAsia="zh-CN"/>
              </w:rPr>
              <w:t xml:space="preserve">.</w:t>
            </w:r>
            <w:r/>
          </w:p>
        </w:tc>
      </w:tr>
      <w:tr>
        <w:trPr>
          <w:trHeight w:val="7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left="66" w:right="-1"/>
              <w:jc w:val="both"/>
              <w:spacing w:lineRule="exact" w:line="278" w:after="160"/>
              <w:widowControl w:val="off"/>
              <w:tabs>
                <w:tab w:val="num" w:pos="720" w:leader="none"/>
                <w:tab w:val="num" w:pos="2345" w:leader="none"/>
              </w:tabs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val="en-US"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2. Предмет контракта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val="en-US" w:bidi="hi-IN" w:eastAsia="zh-CN"/>
              </w:rPr>
              <w:t xml:space="preserve">: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right="-1"/>
              <w:jc w:val="both"/>
              <w:spacing w:lineRule="auto" w:line="256" w:after="0"/>
              <w:rPr>
                <w:rFonts w:ascii="Times New Roman" w:hAnsi="Times New Roman" w:cs="Times New Roman" w:eastAsia="Calibri"/>
                <w:color w:val="FF0000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Arial Unicode MS" w:eastAsia="Arial Unicode MS"/>
                <w:color w:val="000000"/>
                <w:sz w:val="24"/>
                <w:szCs w:val="24"/>
                <w:lang w:eastAsia="ru-RU"/>
              </w:rPr>
              <w:t xml:space="preserve">Выполнение работ по сохранению объекта культурного наследия «Школа» 2-я пол. XIX в., входящего в состав объекта культурного наследия федерального значения «Усадьба «Высокое» 2-я пол. XIX в. (Смоленская область)</w:t>
            </w:r>
            <w:r/>
          </w:p>
        </w:tc>
      </w:tr>
      <w:tr>
        <w:trPr>
          <w:trHeight w:val="44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left="34" w:right="-1"/>
              <w:jc w:val="both"/>
              <w:spacing w:lineRule="exact" w:line="278" w:after="160"/>
              <w:widowControl w:val="off"/>
              <w:tabs>
                <w:tab w:val="num" w:pos="720" w:leader="none"/>
                <w:tab w:val="num" w:pos="2345" w:leader="none"/>
              </w:tabs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3. Место выполнения работ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right="-1"/>
              <w:jc w:val="both"/>
              <w:spacing w:lineRule="auto" w:line="256" w:after="0"/>
              <w:rPr>
                <w:rFonts w:ascii="Times New Roman" w:hAnsi="Times New Roman" w:cs="Times New Roman" w:eastAsia="Calibri"/>
                <w:color w:val="000000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Смоленская область, 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Новодугинский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 район, с. 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Высокое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,      ул. 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Высоковская</w:t>
            </w:r>
            <w:r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t xml:space="preserve">, д. 11,              </w:t>
            </w:r>
            <w:r/>
          </w:p>
        </w:tc>
      </w:tr>
      <w:tr>
        <w:trPr>
          <w:trHeight w:val="44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left="34" w:right="-1"/>
              <w:spacing w:lineRule="exact" w:line="278" w:after="160"/>
              <w:widowControl w:val="off"/>
              <w:tabs>
                <w:tab w:val="num" w:pos="720" w:leader="none"/>
                <w:tab w:val="num" w:pos="2345" w:leader="none"/>
              </w:tabs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4. Сроки выполнения работ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right="-1"/>
              <w:jc w:val="both"/>
              <w:spacing w:lineRule="auto" w:line="256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Выполнение 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работ, предусмотренных проектом Контракта осуществляется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 поэтапно: </w:t>
            </w:r>
            <w:r/>
          </w:p>
          <w:p>
            <w:pPr>
              <w:ind w:right="-1" w:firstLine="567"/>
              <w:jc w:val="both"/>
              <w:spacing w:lineRule="auto" w:line="256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1 этап: 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с даты заключения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 контракта по 30.09.2024</w:t>
            </w:r>
            <w:r/>
          </w:p>
          <w:p>
            <w:pPr>
              <w:ind w:right="-1" w:firstLine="567"/>
              <w:jc w:val="both"/>
              <w:spacing w:lineRule="auto" w:line="256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2 этап: с 01.10.2024 по 05.11.2024</w:t>
            </w:r>
            <w:r/>
          </w:p>
          <w:p>
            <w:pPr>
              <w:ind w:right="-1" w:firstLine="567"/>
              <w:jc w:val="both"/>
              <w:spacing w:lineRule="auto" w:line="256" w:after="0"/>
              <w:rPr>
                <w:rFonts w:ascii="Times New Roman" w:hAnsi="Times New Roman" w:cs="Times New Roman" w:eastAsia="Calibri"/>
                <w:spacing w:val="1"/>
                <w:sz w:val="24"/>
                <w:szCs w:val="24"/>
                <w:lang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3 этап: с 06.11.2024 по 05.12.2024</w:t>
            </w:r>
            <w:r/>
          </w:p>
        </w:tc>
      </w:tr>
      <w:tr>
        <w:trPr>
          <w:trHeight w:val="90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left="176" w:right="-1"/>
              <w:jc w:val="both"/>
              <w:spacing w:lineRule="exact" w:line="278" w:after="160"/>
              <w:widowControl w:val="off"/>
              <w:tabs>
                <w:tab w:val="num" w:pos="502" w:leader="none"/>
                <w:tab w:val="num" w:pos="720" w:leader="none"/>
                <w:tab w:val="num" w:pos="2345" w:leader="none"/>
              </w:tabs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t xml:space="preserve">5</w:t>
            </w: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t xml:space="preserve">. Заказчик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right="-1"/>
              <w:jc w:val="both"/>
              <w:keepNext/>
              <w:spacing w:lineRule="auto" w:line="256" w:after="0"/>
              <w:rPr>
                <w:rFonts w:ascii="Times New Roman" w:hAnsi="Times New Roman" w:cs="Times New Roman" w:eastAsia="Calibri"/>
                <w:b/>
                <w:color w:val="000000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  <w:outlineLvl w:val="0"/>
            </w:pPr>
            <w:r>
              <w:rPr>
                <w:rFonts w:ascii="Times New Roman" w:hAnsi="Times New Roman" w:cs="Times New Roman" w:eastAsia="Arial Unicode MS"/>
                <w:color w:val="000000"/>
                <w:sz w:val="24"/>
                <w:szCs w:val="24"/>
                <w:lang w:val="ru" w:eastAsia="ru-RU"/>
              </w:rPr>
              <w:t xml:space="preserve">Смоленское областное государственное бюджетное профессиональное образовательное учреждение «Смоленский областной образовательный комплекс – Технологический колледж – Лицей-интернат «Феникс» (СОГБПОУ «Технологический колледж – Лицей-интернат «Феникс»),</w:t>
            </w:r>
            <w:r/>
          </w:p>
        </w:tc>
      </w:tr>
      <w:tr>
        <w:trPr>
          <w:trHeight w:val="563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left="34" w:right="-1"/>
              <w:jc w:val="both"/>
              <w:spacing w:lineRule="exact" w:line="278" w:after="160"/>
              <w:widowControl w:val="off"/>
              <w:tabs>
                <w:tab w:val="num" w:pos="720" w:leader="none"/>
                <w:tab w:val="num" w:pos="2345" w:leader="none"/>
              </w:tabs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t xml:space="preserve">6</w:t>
            </w: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t xml:space="preserve">.Источник финансирования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right="-1"/>
              <w:jc w:val="both"/>
              <w:spacing w:lineRule="exact" w:line="278" w:after="0"/>
              <w:widowControl w:val="off"/>
              <w:rPr>
                <w:rFonts w:ascii="Times New Roman" w:hAnsi="Times New Roman" w:cs="Times New Roman" w:eastAsia="Calibri"/>
                <w:color w:val="000000"/>
                <w:spacing w:val="-1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color w:val="000000"/>
                <w:spacing w:val="-1"/>
                <w:sz w:val="24"/>
                <w:szCs w:val="24"/>
                <w:lang w:bidi="hi-IN" w:eastAsia="zh-CN"/>
              </w:rPr>
              <w:t xml:space="preserve">Областной бюджет Смоленской области.</w:t>
            </w:r>
            <w:r/>
          </w:p>
        </w:tc>
      </w:tr>
      <w:tr>
        <w:trPr>
          <w:trHeight w:val="988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right="-1"/>
              <w:jc w:val="left"/>
              <w:spacing w:lineRule="exact" w:line="278" w:after="160"/>
              <w:widowControl w:val="off"/>
              <w:tabs>
                <w:tab w:val="num" w:pos="720" w:leader="none"/>
                <w:tab w:val="num" w:pos="2345" w:leader="none"/>
              </w:tabs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7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. Обязательные требования (наличие лицензии для выполнения работ):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pStyle w:val="467"/>
              <w:numPr>
                <w:ilvl w:val="0"/>
                <w:numId w:val="1"/>
              </w:numPr>
              <w:ind w:left="0" w:right="-1" w:firstLine="0"/>
              <w:jc w:val="both"/>
              <w:spacing w:lineRule="auto" w:line="240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В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ыписка из реестра лицензий либо копия акта лицензирующего органа о принятом решении, выданная участнику закупки либо сведения о регистрационном номере лицензии и дате ее предоставления (предоставляется в свободной форме): </w:t>
            </w:r>
            <w:r/>
          </w:p>
          <w:p>
            <w:pPr>
              <w:ind w:right="-1"/>
              <w:jc w:val="both"/>
              <w:spacing w:lineRule="auto" w:line="240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– на осуществление деятельности по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 сохранению объектов культурного наследия (памятников истории и культуры) народов Российской Федерации </w:t>
            </w:r>
            <w:r/>
          </w:p>
          <w:p>
            <w:pPr>
              <w:ind w:right="-1"/>
              <w:jc w:val="both"/>
              <w:spacing w:lineRule="auto" w:line="240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 w:eastAsia="Calibri"/>
                <w:b/>
                <w:sz w:val="24"/>
                <w:szCs w:val="24"/>
                <w:lang w:eastAsia="zh-CN"/>
              </w:rPr>
              <w:t xml:space="preserve">Виды работ (услуг), выполняемых (оказываемых) в составе лицензируемого вида деятельности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: </w:t>
            </w:r>
            <w:r/>
          </w:p>
          <w:p>
            <w:pPr>
              <w:ind w:right="-1"/>
              <w:jc w:val="both"/>
              <w:spacing w:lineRule="auto" w:line="240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- реставрация, консервация и воссоздание оснований, фундаментов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, 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кл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адок, ограждающих конструкций и распорных систем; </w:t>
            </w:r>
            <w:r/>
          </w:p>
          <w:p>
            <w:pPr>
              <w:ind w:right="-1"/>
              <w:jc w:val="both"/>
              <w:spacing w:lineRule="auto" w:line="240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- реставрация, консервация и воссоздание металлических конструкций и деталей; </w:t>
            </w:r>
            <w:r/>
          </w:p>
          <w:p>
            <w:pPr>
              <w:ind w:right="-1"/>
              <w:jc w:val="both"/>
              <w:spacing w:lineRule="auto" w:line="240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- реставрация, консервация и воссоздание деревянных конструкций и деталей; </w:t>
            </w:r>
            <w:r/>
          </w:p>
          <w:p>
            <w:pPr>
              <w:ind w:right="-1"/>
              <w:jc w:val="both"/>
              <w:spacing w:lineRule="auto" w:line="240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- реставрация, консервация и воссоздание декоративно-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художественных покрасок, штукату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рной отделки и архитектурно-лепного декора; </w:t>
            </w:r>
            <w:r/>
          </w:p>
          <w:p>
            <w:pPr>
              <w:ind w:right="-1"/>
              <w:jc w:val="both"/>
              <w:spacing w:lineRule="auto" w:line="240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- реставрация, консервация и воссоздание конструкций и деталей из естественного и искусственного камней; </w:t>
            </w:r>
            <w:r/>
          </w:p>
          <w:p>
            <w:pPr>
              <w:ind w:right="-1"/>
              <w:jc w:val="both"/>
              <w:spacing w:lineRule="auto" w:line="240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- реставрация, консервация и воссоздание исторического ландшафта и произведений садово-паркового искусства;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 </w:t>
            </w:r>
            <w:r/>
          </w:p>
          <w:p>
            <w:pPr>
              <w:ind w:right="-1"/>
              <w:jc w:val="both"/>
              <w:spacing w:lineRule="auto" w:line="240" w:after="0"/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- 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ремонт и приспособление объектов культурного наследия (памятников истории и культуры) народов Российской Федерации. </w:t>
            </w:r>
            <w:r/>
          </w:p>
          <w:p>
            <w:pPr>
              <w:ind w:right="-1"/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2. Участник закупки должен быть членом саморегулируемой организации в области строительства, реконструкции, капитального ремонта, сноса объе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ктов капитального строительства Минимальный размер взноса участника закупки в компенсационный фонд возмещения вреда должен быть сформирован в соответствии с требованиями ч. 12 ст. 55.16 Градостроительного кодекса Российской Федерации. Минимальный размер вз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носа в компенсационный фонд обеспечения договорных обязательств должен быть сформирован в соответствии с требованиями ч. 13 ст. 55.16 Градостроительного кодекса Российской Федерации. Настоящие требования не предъявляются к участникам закупки, перечисленным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 в ч.2.1, ч. 2.2 ст. 52 Градостроительного Кодекса РФ. Подтверждением соответствия участника закупки указанному требованию является наличие информации об участнике закупки в едином реестре сведений о членах саморегулируемых организаций и их обязательствах.</w:t>
            </w:r>
            <w:bookmarkStart w:id="0" w:name="_GoBack"/>
            <w:r/>
            <w:bookmarkEnd w:id="0"/>
            <w:r/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right="-1"/>
              <w:jc w:val="both"/>
              <w:spacing w:lineRule="exact" w:line="278" w:after="0"/>
              <w:widowControl w:val="off"/>
              <w:tabs>
                <w:tab w:val="num" w:pos="720" w:leader="none"/>
                <w:tab w:val="num" w:pos="2345" w:leader="none"/>
              </w:tabs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bCs/>
                <w:sz w:val="24"/>
                <w:szCs w:val="24"/>
                <w:lang w:bidi="hi-IN" w:eastAsia="zh-CN"/>
              </w:rPr>
              <w:t xml:space="preserve">8</w:t>
            </w:r>
            <w:r>
              <w:rPr>
                <w:rFonts w:ascii="Times New Roman" w:hAnsi="Times New Roman" w:cs="Times New Roman" w:eastAsia="Calibri"/>
                <w:bCs/>
                <w:sz w:val="24"/>
                <w:szCs w:val="24"/>
                <w:lang w:bidi="hi-IN" w:eastAsia="zh-CN"/>
              </w:rPr>
              <w:t xml:space="preserve">. Основные виды работ (далее – Работы)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right="-1"/>
              <w:jc w:val="both"/>
              <w:spacing w:lineRule="auto" w:line="256" w:after="0"/>
              <w:rPr>
                <w:rFonts w:ascii="Times New Roman" w:hAnsi="Times New Roman" w:cs="Times New Roman" w:eastAsia="Calibri"/>
                <w:b/>
                <w:color w:val="000000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</w:rPr>
              <w:t xml:space="preserve">Перечень работ по сохранению объ</w:t>
            </w: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</w:rPr>
              <w:t xml:space="preserve">екта выполнять в соответствии со </w:t>
            </w: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</w:rPr>
              <w:t xml:space="preserve">сметной документацией.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right="-1"/>
              <w:jc w:val="both"/>
              <w:spacing w:lineRule="exact" w:line="278" w:after="160"/>
              <w:widowControl w:val="off"/>
              <w:tabs>
                <w:tab w:val="num" w:pos="720" w:leader="none"/>
                <w:tab w:val="num" w:pos="2345" w:leader="none"/>
              </w:tabs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9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. Общие требования к выполнению реставрационных работ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right="-1" w:firstLine="322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Подрядчик должен выполнить все предусмотренные контрактом Работы, обе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спечив их надлежащее качество                        в соответствии с Описанием объекта закупки, технической, научно-проектной, сметной документацией, требованиями нормативных правовых актов в области строительства                           и реставрации (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C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НиП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, СРП, технические регламенты), техническими условиями, в сроки, установленные контрактом</w:t>
            </w: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.</w:t>
            </w:r>
            <w:r/>
          </w:p>
          <w:p>
            <w:pPr>
              <w:ind w:right="-1" w:firstLine="322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Подрядчик собственными силами получает разрешение</w:t>
            </w: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                   на производство Работ. Также, в рамках выполнения Работ Подрядчик обеспечивает получение всех необходимых разрешений и согласований в контролирующих и надзорных органах в соответствии с действующим законодательством Российской Федерации.</w:t>
            </w:r>
            <w:r/>
          </w:p>
          <w:p>
            <w:pPr>
              <w:ind w:right="-1" w:firstLine="322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Подрядчик обеспечивает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 выполнение мероприятий по охране труда и технике безопасности, пожарной безопасности, использованию Объекта по целевому н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азначению, охране окружающей среды, зеленых насаждений и земли, а также установление информационного щита и надлежащее освещение Работ на Объекте в соответствии с установленными требованиями. Безопасность труда должна отвечать требованиям СНиП 12-03-2001. </w:t>
            </w:r>
            <w:r/>
          </w:p>
          <w:p>
            <w:pPr>
              <w:ind w:right="-1" w:firstLine="322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Установленный </w:t>
            </w: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информационный стенд должен содержать наименование объекта, виды работ, наименование подрядной организации и другую информацию в соответствии                                  с требованиями контракта.</w:t>
            </w:r>
            <w:r/>
          </w:p>
          <w:p>
            <w:pPr>
              <w:ind w:left="34" w:right="-1" w:firstLine="289"/>
              <w:jc w:val="both"/>
              <w:spacing w:lineRule="auto" w:line="259" w:after="0"/>
              <w:rPr>
                <w:rFonts w:ascii="Times New Roman" w:hAnsi="Times New Roman" w:cs="Times New Roman" w:eastAsia="Calibri"/>
                <w:bCs/>
                <w:color w:val="000000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bCs/>
                <w:color w:val="000000"/>
                <w:sz w:val="24"/>
                <w:szCs w:val="24"/>
              </w:rPr>
              <w:t xml:space="preserve">В соответствии с Федеральным законом от 25 июня 2002 го</w:t>
            </w:r>
            <w:r>
              <w:rPr>
                <w:rFonts w:ascii="Times New Roman" w:hAnsi="Times New Roman" w:cs="Times New Roman" w:eastAsia="Calibri"/>
                <w:bCs/>
                <w:color w:val="000000"/>
                <w:sz w:val="24"/>
                <w:szCs w:val="24"/>
              </w:rPr>
              <w:t xml:space="preserve">да № 73-ФЗ «Об объектах культурного наследия                         (памятниках истории и культуры) народов Российской Федерации» работы по консервации и реставрации объектов культурного наследия проводятся физическими лицами, аттестованными федеральным о</w:t>
            </w:r>
            <w:r>
              <w:rPr>
                <w:rFonts w:ascii="Times New Roman" w:hAnsi="Times New Roman" w:cs="Times New Roman" w:eastAsia="Calibri"/>
                <w:bCs/>
                <w:color w:val="000000"/>
                <w:sz w:val="24"/>
                <w:szCs w:val="24"/>
              </w:rPr>
              <w:t xml:space="preserve">рганом охраны объектов культурного наследия в установленном порядке, состоящим                    в трудовых отношениях с юридическими лицами или индивидуальными предпринимателями, имеющими лицензию               на осуществление деятельности по сохранению</w:t>
            </w:r>
            <w:r>
              <w:rPr>
                <w:rFonts w:ascii="Times New Roman" w:hAnsi="Times New Roman" w:cs="Times New Roman" w:eastAsia="Calibri"/>
                <w:bCs/>
                <w:color w:val="000000"/>
                <w:sz w:val="24"/>
                <w:szCs w:val="24"/>
              </w:rPr>
              <w:t xml:space="preserve"> объектов культурного наследия (памятников истории и культуры) народов Российской Федерации.</w:t>
            </w:r>
            <w:r/>
          </w:p>
          <w:p>
            <w:pPr>
              <w:ind w:right="-1" w:firstLine="322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Применение материалов определяется требованиями, предъявляемыми к ним исходя из назначения, в том числе пожарной безопасности, санитарной безопасности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 и других нормативных актов. </w:t>
            </w:r>
            <w:r/>
          </w:p>
          <w:p>
            <w:pPr>
              <w:ind w:right="-1" w:firstLine="322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В случае указ</w:t>
            </w: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ания на товарные знаки применяемых материалов в сметной документации следует читать «или эквивалент, аналог» (при этом возможность замены материала необходимо согласовать с авторами разработанной и согласованной проектной документации (авторским надзором) </w:t>
            </w: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до</w:t>
            </w: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 процессе производства работ).</w:t>
            </w:r>
            <w:r/>
          </w:p>
          <w:p>
            <w:pPr>
              <w:ind w:right="-1" w:firstLine="322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Строительные материалы, комплектующие и оборудование, приобретаемые и используемые Подрядчиком, должны отвечать требованиям Федерального закона от 27.12.2002 № 184-ФЗ «О техническом регулировании» и иметь:</w:t>
            </w:r>
            <w:r/>
          </w:p>
          <w:p>
            <w:pPr>
              <w:ind w:right="-1" w:firstLine="322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1. Сертификаты соответствия (паспорта качества); </w:t>
            </w:r>
            <w:r/>
          </w:p>
          <w:p>
            <w:pPr>
              <w:ind w:right="-1" w:firstLine="322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2. Санитарно – эпидемиологические (экспертные) заключения;</w:t>
            </w:r>
            <w:r/>
          </w:p>
          <w:p>
            <w:pPr>
              <w:ind w:right="-1" w:firstLine="322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3. Сертификаты пожарной безопасности; </w:t>
            </w:r>
            <w:r/>
          </w:p>
          <w:p>
            <w:pPr>
              <w:ind w:right="-1" w:firstLine="322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4. Инструкции по применению заводов – изготовителей                    на русском языке с указанием нормы расхода материалов и сроков годности.</w:t>
            </w:r>
            <w:r/>
          </w:p>
          <w:p>
            <w:pPr>
              <w:ind w:right="-1" w:firstLine="322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Для выполнения </w:t>
            </w: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реставрационных работ используется материал, соответствующий по качеству историческому.</w:t>
            </w:r>
            <w:r/>
          </w:p>
          <w:p>
            <w:pPr>
              <w:ind w:left="34" w:right="-1" w:firstLine="322"/>
              <w:jc w:val="both"/>
              <w:spacing w:lineRule="auto" w:line="259" w:after="0"/>
              <w:widowControl w:val="off"/>
              <w:tabs>
                <w:tab w:val="left" w:pos="709" w:leader="none"/>
              </w:tabs>
              <w:rPr>
                <w:rFonts w:ascii="Times New Roman" w:hAnsi="Times New Roman" w:cs="Times New Roman" w:eastAsia="Calibri"/>
                <w:color w:val="000000"/>
                <w:spacing w:val="-1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color w:val="000000"/>
                <w:spacing w:val="-1"/>
                <w:sz w:val="24"/>
                <w:szCs w:val="24"/>
              </w:rPr>
              <w:t xml:space="preserve">Подрядчик поэтапно, после подписания отчетных документов, предоставляет авторскому надзору исполнительную документацию.</w:t>
            </w:r>
            <w:r/>
          </w:p>
          <w:p>
            <w:pPr>
              <w:ind w:left="34" w:right="-1" w:firstLine="322"/>
              <w:jc w:val="both"/>
              <w:spacing w:lineRule="auto" w:line="259" w:after="0"/>
              <w:widowControl w:val="off"/>
              <w:tabs>
                <w:tab w:val="left" w:pos="709" w:leader="none"/>
              </w:tabs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</w:rPr>
              <w:t xml:space="preserve">Подрядчик обязан за свой счет содержать Объект в порядке              и соблюдать противопожарные, санитарные и экологические нормы на территории (площадке), отведенной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 ему для складирования новых материалов и демонтируемых материалов.</w:t>
            </w:r>
            <w:r/>
          </w:p>
          <w:p>
            <w:pPr>
              <w:ind w:left="34" w:right="-1" w:firstLine="322"/>
              <w:jc w:val="both"/>
              <w:spacing w:lineRule="auto" w:line="259" w:after="0"/>
              <w:widowControl w:val="off"/>
              <w:tabs>
                <w:tab w:val="left" w:pos="709" w:leader="none"/>
              </w:tabs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Сбор и вывоз строительного и бытового мусора, образовавшегося в результате ремонта, осуществляется не реже 1 раза в неделю (или по мере накопления), а также уборка объекта от строительного мусора по окончании работ. </w:t>
            </w:r>
            <w:r/>
          </w:p>
          <w:p>
            <w:pPr>
              <w:ind w:left="34" w:right="-1" w:firstLine="322"/>
              <w:jc w:val="both"/>
              <w:spacing w:lineRule="auto" w:line="259" w:after="0"/>
              <w:widowControl w:val="off"/>
              <w:tabs>
                <w:tab w:val="left" w:pos="709" w:leader="none"/>
              </w:tabs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Строительный мусор вывозится на полигон захоронения. Ответственность за выполнение правил обращения с отходами, образуемыми при проведении Работ, осуществляет подрядная организация.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left="34" w:right="-1"/>
              <w:jc w:val="both"/>
              <w:spacing w:lineRule="exact" w:line="278" w:after="0"/>
              <w:widowControl w:val="off"/>
              <w:tabs>
                <w:tab w:val="num" w:pos="502" w:leader="none"/>
                <w:tab w:val="num" w:pos="720" w:leader="none"/>
                <w:tab w:val="num" w:pos="2345" w:leader="none"/>
              </w:tabs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t xml:space="preserve">1</w:t>
            </w: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t xml:space="preserve">0</w:t>
            </w: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t xml:space="preserve">. Требования к безопасности выполняемых работ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right="-1" w:firstLine="459"/>
              <w:jc w:val="both"/>
              <w:spacing w:lineRule="auto" w:line="259" w:after="0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  <w:outlineLvl w:val="2"/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Работы должны выполняться с соблюдением норм пожарной безопасности, техники безопасности, охраны окружающей среды, зеленых насаждений и земельного участка.</w:t>
            </w:r>
            <w:r/>
          </w:p>
          <w:p>
            <w:pPr>
              <w:ind w:right="-1" w:firstLine="459"/>
              <w:jc w:val="both"/>
              <w:spacing w:lineRule="auto" w:line="259" w:after="0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Подрядчик по требованию заказчика обязан предоставить ему:</w:t>
            </w:r>
            <w:r/>
          </w:p>
          <w:p>
            <w:pPr>
              <w:ind w:right="-1" w:firstLine="459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приказы о назначении ответственных сотрудников                         по противопожарной безопасности, охране труда и охране окружающей среды,</w:t>
            </w:r>
            <w:r/>
          </w:p>
          <w:p>
            <w:pPr>
              <w:ind w:right="-1" w:firstLine="459"/>
              <w:jc w:val="both"/>
              <w:spacing w:lineRule="auto" w:line="259" w:after="0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  <w:outlineLvl w:val="2"/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Подрядчик в течение 5 (пяти) рабочих дней 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с даты заключения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 контракта обязан предоставить заказчику:</w:t>
            </w:r>
            <w:r/>
          </w:p>
          <w:p>
            <w:pPr>
              <w:ind w:right="-1" w:firstLine="459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- приказы о назначении ответственных сотрудников                        по противопожарной безопасности, охране труда и охране окружающей среды,</w:t>
            </w:r>
            <w:r/>
          </w:p>
          <w:p>
            <w:pPr>
              <w:ind w:right="-1" w:firstLine="459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- приказы о назначении ответственных лиц за производством работ</w:t>
            </w:r>
            <w:r/>
          </w:p>
          <w:p>
            <w:pPr>
              <w:ind w:right="-1" w:firstLine="459"/>
              <w:jc w:val="both"/>
              <w:spacing w:lineRule="auto" w:line="259" w:after="0"/>
              <w:widowControl w:val="off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- иные документы, требующиеся в соответствии                                         с действующим законодательством, при осуществлении мероприятий в области противопожарной безопасности, охраны труда, охраны окружающей среды.</w:t>
            </w:r>
            <w:r/>
          </w:p>
          <w:p>
            <w:pPr>
              <w:ind w:right="-1" w:firstLine="459"/>
              <w:jc w:val="both"/>
              <w:spacing w:lineRule="auto" w:line="256" w:after="0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  <w:outlineLvl w:val="2"/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К исполнению работ должны привлекаться только квалифицированные 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рабочие, имеющие соответствующий разряд и прошедшие медицинское освидетельствование в случаях, установленных правовыми актами в области строительства                     (в частности, СНиП 12-03-2001 и СНиП 12-04-2002  «Безопасность труда в строительстве»)</w:t>
            </w:r>
            <w:r/>
          </w:p>
        </w:tc>
      </w:tr>
      <w:tr>
        <w:trPr>
          <w:trHeight w:val="85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left="34" w:right="-1"/>
              <w:spacing w:lineRule="exact" w:line="278" w:after="0"/>
              <w:widowControl w:val="off"/>
              <w:tabs>
                <w:tab w:val="num" w:pos="502" w:leader="none"/>
                <w:tab w:val="num" w:pos="720" w:leader="none"/>
                <w:tab w:val="num" w:pos="2345" w:leader="none"/>
              </w:tabs>
              <w:rPr>
                <w:rFonts w:ascii="Times New Roman" w:hAnsi="Times New Roman" w:cs="Times New Roman" w:eastAsia="Calibri"/>
                <w:spacing w:val="-1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1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1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. Требования к сроку и объему предоставления гарантии качества работ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right="-1"/>
              <w:jc w:val="both"/>
              <w:spacing w:lineRule="exact" w:line="278" w:after="0"/>
              <w:widowControl w:val="off"/>
              <w:rPr>
                <w:rFonts w:ascii="Times New Roman" w:hAnsi="Times New Roman" w:cs="Times New Roman" w:eastAsia="Calibri"/>
                <w:color w:val="000000"/>
                <w:spacing w:val="-1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Гарантийный срок на выполняемые по Контракту работы составляет 24 (Двадцать четыре) месяца 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с даты подписания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eastAsia="zh-CN"/>
              </w:rPr>
              <w:t xml:space="preserve"> Актов о выполнении обязательств по Контракту. </w:t>
            </w: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</w:rPr>
              <w:t xml:space="preserve">В случае</w:t>
            </w: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</w:rPr>
              <w:t xml:space="preserve"> если заказчиком, либо уполномоченным органом охраны (в данном случае – Главным управлением Смоленской области по культурному на</w:t>
            </w: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</w:rPr>
              <w:t xml:space="preserve">следию) Объекта культурного наследия в течение срока предоставления гарантий качества работ будут выявлены недостатки и дефекты, допущенные Подрядчиком               в процессе производства работ, либо являющиеся следствием ненадлежащего качества работ, пр</w:t>
            </w:r>
            <w:r>
              <w:rPr>
                <w:rFonts w:ascii="Times New Roman" w:hAnsi="Times New Roman" w:cs="Times New Roman" w:eastAsia="Calibri"/>
                <w:spacing w:val="-1"/>
                <w:sz w:val="24"/>
                <w:szCs w:val="24"/>
              </w:rPr>
              <w:t xml:space="preserve">едусмотренных настоящим Контрактом (в том числе в результате использования материалов ненадлежащего качества, отступления от технологии производства работ и пр.), Подрядчик обязуется своими силами и за свой счет устранить выявленные нарушения.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left="34" w:right="-1"/>
              <w:spacing w:lineRule="exact" w:line="278" w:after="0"/>
              <w:widowControl w:val="off"/>
              <w:tabs>
                <w:tab w:val="num" w:pos="720" w:leader="none"/>
                <w:tab w:val="num" w:pos="2345" w:leader="none"/>
              </w:tabs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12</w:t>
            </w:r>
            <w:r>
              <w:rPr>
                <w:rFonts w:ascii="Times New Roman" w:hAnsi="Times New Roman" w:cs="Times New Roman" w:eastAsia="Calibri"/>
                <w:sz w:val="24"/>
                <w:szCs w:val="24"/>
                <w:lang w:bidi="hi-IN" w:eastAsia="zh-CN"/>
              </w:rPr>
              <w:t xml:space="preserve">. Соблюдение законодательных и иных нормативных правовых актов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right="-1"/>
              <w:jc w:val="both"/>
              <w:spacing w:lineRule="auto" w:line="259" w:after="0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Работы ве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сти в соответствии с российскими нормами                              и правилами. Применяемые строительные машины                                  и оборудование должны иметь технический паспорт, сертификат на соответствии российским нормам и стандартам. </w:t>
            </w:r>
            <w:r/>
          </w:p>
          <w:p>
            <w:pPr>
              <w:ind w:right="-1"/>
              <w:jc w:val="both"/>
              <w:spacing w:lineRule="auto" w:line="256" w:after="0"/>
              <w:rPr>
                <w:rFonts w:ascii="Times New Roman" w:hAnsi="Times New Roman" w:cs="Times New Roman" w:eastAsia="Calibri"/>
                <w:color w:val="000000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Перед началом работ должны быть выполнены мероприятия               по безопасной организации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 стройплощадки. Опасные зоны должны быть ограждены сигнальными ограждениями и на них должны быть вывешены предупредительные знаки. Кроме того, при ведении работ Подрядчик обязан соблюдать требования законов и иных правовых актов об охране окружающей среды.</w:t>
            </w:r>
            <w:r/>
          </w:p>
        </w:tc>
      </w:tr>
      <w:tr>
        <w:trPr>
          <w:trHeight w:val="293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right="-1"/>
              <w:jc w:val="both"/>
              <w:spacing w:lineRule="auto" w:line="256" w:after="0"/>
              <w:rPr>
                <w:rFonts w:ascii="Times New Roman" w:hAnsi="Times New Roman" w:cs="Times New Roman" w:eastAsia="Calibri"/>
                <w:bCs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bCs/>
                <w:sz w:val="24"/>
                <w:szCs w:val="24"/>
                <w:lang w:bidi="hi-IN" w:eastAsia="zh-CN"/>
              </w:rPr>
              <w:t xml:space="preserve">13</w:t>
            </w:r>
            <w:r>
              <w:rPr>
                <w:rFonts w:ascii="Times New Roman" w:hAnsi="Times New Roman" w:cs="Times New Roman" w:eastAsia="Calibri"/>
                <w:bCs/>
                <w:sz w:val="24"/>
                <w:szCs w:val="24"/>
                <w:lang w:bidi="hi-IN" w:eastAsia="zh-CN"/>
              </w:rPr>
              <w:t xml:space="preserve">. Особые условия при проведении реставрационных работ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left="34" w:right="-1"/>
              <w:jc w:val="both"/>
              <w:spacing w:lineRule="auto" w:line="259" w:after="0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Работы по сохранению объекта культурного наследия проводятся на основании письменного </w:t>
            </w: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разрешения на проведение указанных работ, выданного территориальным органом охраны объектов культурного наследия (в данном случае – Главным управлением Смоленской области по культурному наследию), и задания  на проведение этих работ, согласованного с ним. </w:t>
            </w:r>
            <w:r/>
          </w:p>
          <w:p>
            <w:pPr>
              <w:ind w:left="34" w:right="-1"/>
              <w:jc w:val="both"/>
              <w:spacing w:lineRule="auto" w:line="259" w:after="0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Журналы авторского и технического надзора передаются Подрядчику для хранения до окончания производства ремонтно-реставрационных работ Объекта и предъявления приемочной комиссии. </w:t>
            </w:r>
            <w:r/>
          </w:p>
          <w:p>
            <w:pPr>
              <w:ind w:left="34" w:right="-1"/>
              <w:jc w:val="both"/>
              <w:spacing w:lineRule="auto" w:line="259" w:after="0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Ответственность за своевременное и качественное выполнение требований авторского и технического надзора, а также за сохранность и содержание в надлежащем виде журнала авторского и технического надзора несет руководитель Подрядчика. </w:t>
            </w:r>
            <w:r/>
          </w:p>
          <w:p>
            <w:pPr>
              <w:ind w:left="34" w:right="-1"/>
              <w:jc w:val="both"/>
              <w:spacing w:lineRule="auto" w:line="256" w:after="0"/>
              <w:rPr>
                <w:rFonts w:ascii="Times New Roman" w:hAnsi="Times New Roman" w:cs="Times New Roman" w:eastAsia="Calibri"/>
                <w:color w:val="000000"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Подрядчик обязан привлекать к работе только обученный, аттестованный персонал.</w:t>
            </w:r>
            <w:r/>
          </w:p>
        </w:tc>
      </w:tr>
      <w:tr>
        <w:trPr>
          <w:trHeight w:val="293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977" w:type="dxa"/>
            <w:textDirection w:val="lrTb"/>
            <w:noWrap w:val="false"/>
          </w:tcPr>
          <w:p>
            <w:pPr>
              <w:ind w:left="34" w:right="-1"/>
              <w:jc w:val="both"/>
              <w:spacing w:lineRule="auto" w:line="256" w:after="0"/>
              <w:rPr>
                <w:rFonts w:ascii="Times New Roman" w:hAnsi="Times New Roman" w:cs="Times New Roman" w:eastAsia="Calibri"/>
                <w:bCs/>
                <w:sz w:val="24"/>
                <w:szCs w:val="24"/>
                <w:lang w:bidi="hi-IN" w:eastAsia="zh-CN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bCs/>
                <w:sz w:val="24"/>
                <w:szCs w:val="24"/>
                <w:lang w:bidi="hi-IN" w:eastAsia="zh-CN"/>
              </w:rPr>
              <w:t xml:space="preserve">1</w:t>
            </w:r>
            <w:r>
              <w:rPr>
                <w:rFonts w:ascii="Times New Roman" w:hAnsi="Times New Roman" w:cs="Times New Roman" w:eastAsia="Calibri"/>
                <w:bCs/>
                <w:sz w:val="24"/>
                <w:szCs w:val="24"/>
                <w:lang w:bidi="hi-IN" w:eastAsia="zh-CN"/>
              </w:rPr>
              <w:t xml:space="preserve">4</w:t>
            </w:r>
            <w:r>
              <w:rPr>
                <w:rFonts w:ascii="Times New Roman" w:hAnsi="Times New Roman" w:cs="Times New Roman" w:eastAsia="Calibri"/>
                <w:bCs/>
                <w:sz w:val="24"/>
                <w:szCs w:val="24"/>
                <w:lang w:bidi="hi-IN" w:eastAsia="zh-CN"/>
              </w:rPr>
              <w:t xml:space="preserve">. Порядок сдачи и приемки выполненных работ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662" w:type="dxa"/>
            <w:textDirection w:val="lrTb"/>
            <w:noWrap w:val="false"/>
          </w:tcPr>
          <w:p>
            <w:pPr>
              <w:ind w:left="34" w:right="-1"/>
              <w:jc w:val="both"/>
              <w:spacing w:lineRule="auto" w:line="259" w:after="0"/>
              <w:rPr>
                <w:rFonts w:ascii="Times New Roman" w:hAnsi="Times New Roman" w:cs="Times New Roman" w:eastAsia="Calibri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Times New Roman" w:hAnsi="Times New Roman" w:cs="Times New Roman" w:eastAsia="Calibri"/>
                <w:sz w:val="24"/>
                <w:szCs w:val="24"/>
              </w:rPr>
              <w:t xml:space="preserve">Порядок сдачи и приемки выполненных работ определен положениями контракта. </w:t>
            </w:r>
            <w:r>
              <w:rPr>
                <w:rFonts w:ascii="Times New Roman" w:hAnsi="Times New Roman" w:cs="Times New Roman" w:eastAsia="Calibri"/>
                <w:color w:val="000000"/>
                <w:sz w:val="24"/>
                <w:szCs w:val="24"/>
                <w:lang w:bidi="hi-IN" w:eastAsia="zh-CN"/>
              </w:rPr>
            </w:r>
            <w:r/>
          </w:p>
        </w:tc>
      </w:tr>
    </w:tbl>
    <w:p>
      <w:pPr>
        <w:rPr>
          <w:lang w:val="ru"/>
        </w:rPr>
      </w:pPr>
      <w:r>
        <w:rPr>
          <w:lang w:val="ru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.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49">
    <w:name w:val="Heading 1"/>
    <w:basedOn w:val="626"/>
    <w:next w:val="626"/>
    <w:link w:val="450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50">
    <w:name w:val="Heading 1 Char"/>
    <w:basedOn w:val="627"/>
    <w:link w:val="449"/>
    <w:uiPriority w:val="9"/>
    <w:rPr>
      <w:rFonts w:ascii="Arial" w:hAnsi="Arial" w:cs="Arial" w:eastAsia="Arial"/>
      <w:sz w:val="40"/>
      <w:szCs w:val="40"/>
    </w:rPr>
  </w:style>
  <w:style w:type="paragraph" w:styleId="451">
    <w:name w:val="Heading 2"/>
    <w:basedOn w:val="626"/>
    <w:next w:val="626"/>
    <w:link w:val="452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52">
    <w:name w:val="Heading 2 Char"/>
    <w:basedOn w:val="627"/>
    <w:link w:val="451"/>
    <w:uiPriority w:val="9"/>
    <w:rPr>
      <w:rFonts w:ascii="Arial" w:hAnsi="Arial" w:cs="Arial" w:eastAsia="Arial"/>
      <w:sz w:val="34"/>
    </w:rPr>
  </w:style>
  <w:style w:type="paragraph" w:styleId="453">
    <w:name w:val="Heading 3"/>
    <w:basedOn w:val="626"/>
    <w:next w:val="626"/>
    <w:link w:val="454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54">
    <w:name w:val="Heading 3 Char"/>
    <w:basedOn w:val="627"/>
    <w:link w:val="453"/>
    <w:uiPriority w:val="9"/>
    <w:rPr>
      <w:rFonts w:ascii="Arial" w:hAnsi="Arial" w:cs="Arial" w:eastAsia="Arial"/>
      <w:sz w:val="30"/>
      <w:szCs w:val="30"/>
    </w:rPr>
  </w:style>
  <w:style w:type="paragraph" w:styleId="455">
    <w:name w:val="Heading 4"/>
    <w:basedOn w:val="626"/>
    <w:next w:val="626"/>
    <w:link w:val="45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56">
    <w:name w:val="Heading 4 Char"/>
    <w:basedOn w:val="627"/>
    <w:link w:val="455"/>
    <w:uiPriority w:val="9"/>
    <w:rPr>
      <w:rFonts w:ascii="Arial" w:hAnsi="Arial" w:cs="Arial" w:eastAsia="Arial"/>
      <w:b/>
      <w:bCs/>
      <w:sz w:val="26"/>
      <w:szCs w:val="26"/>
    </w:rPr>
  </w:style>
  <w:style w:type="paragraph" w:styleId="457">
    <w:name w:val="Heading 5"/>
    <w:basedOn w:val="626"/>
    <w:next w:val="626"/>
    <w:link w:val="458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58">
    <w:name w:val="Heading 5 Char"/>
    <w:basedOn w:val="627"/>
    <w:link w:val="457"/>
    <w:uiPriority w:val="9"/>
    <w:rPr>
      <w:rFonts w:ascii="Arial" w:hAnsi="Arial" w:cs="Arial" w:eastAsia="Arial"/>
      <w:b/>
      <w:bCs/>
      <w:sz w:val="24"/>
      <w:szCs w:val="24"/>
    </w:rPr>
  </w:style>
  <w:style w:type="paragraph" w:styleId="459">
    <w:name w:val="Heading 6"/>
    <w:basedOn w:val="626"/>
    <w:next w:val="626"/>
    <w:link w:val="460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60">
    <w:name w:val="Heading 6 Char"/>
    <w:basedOn w:val="627"/>
    <w:link w:val="459"/>
    <w:uiPriority w:val="9"/>
    <w:rPr>
      <w:rFonts w:ascii="Arial" w:hAnsi="Arial" w:cs="Arial" w:eastAsia="Arial"/>
      <w:b/>
      <w:bCs/>
      <w:sz w:val="22"/>
      <w:szCs w:val="22"/>
    </w:rPr>
  </w:style>
  <w:style w:type="paragraph" w:styleId="461">
    <w:name w:val="Heading 7"/>
    <w:basedOn w:val="626"/>
    <w:next w:val="626"/>
    <w:link w:val="462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62">
    <w:name w:val="Heading 7 Char"/>
    <w:basedOn w:val="627"/>
    <w:link w:val="46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63">
    <w:name w:val="Heading 8"/>
    <w:basedOn w:val="626"/>
    <w:next w:val="626"/>
    <w:link w:val="464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64">
    <w:name w:val="Heading 8 Char"/>
    <w:basedOn w:val="627"/>
    <w:link w:val="463"/>
    <w:uiPriority w:val="9"/>
    <w:rPr>
      <w:rFonts w:ascii="Arial" w:hAnsi="Arial" w:cs="Arial" w:eastAsia="Arial"/>
      <w:i/>
      <w:iCs/>
      <w:sz w:val="22"/>
      <w:szCs w:val="22"/>
    </w:rPr>
  </w:style>
  <w:style w:type="paragraph" w:styleId="465">
    <w:name w:val="Heading 9"/>
    <w:basedOn w:val="626"/>
    <w:next w:val="626"/>
    <w:link w:val="46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66">
    <w:name w:val="Heading 9 Char"/>
    <w:basedOn w:val="627"/>
    <w:link w:val="465"/>
    <w:uiPriority w:val="9"/>
    <w:rPr>
      <w:rFonts w:ascii="Arial" w:hAnsi="Arial" w:cs="Arial" w:eastAsia="Arial"/>
      <w:i/>
      <w:iCs/>
      <w:sz w:val="21"/>
      <w:szCs w:val="21"/>
    </w:rPr>
  </w:style>
  <w:style w:type="paragraph" w:styleId="467">
    <w:name w:val="List Paragraph"/>
    <w:basedOn w:val="626"/>
    <w:qFormat/>
    <w:uiPriority w:val="34"/>
    <w:pPr>
      <w:contextualSpacing w:val="true"/>
      <w:ind w:left="720"/>
    </w:pPr>
  </w:style>
  <w:style w:type="paragraph" w:styleId="468">
    <w:name w:val="No Spacing"/>
    <w:qFormat/>
    <w:uiPriority w:val="1"/>
    <w:pPr>
      <w:spacing w:lineRule="auto" w:line="240" w:after="0" w:before="0"/>
    </w:pPr>
  </w:style>
  <w:style w:type="paragraph" w:styleId="469">
    <w:name w:val="Title"/>
    <w:basedOn w:val="626"/>
    <w:next w:val="626"/>
    <w:link w:val="470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70">
    <w:name w:val="Title Char"/>
    <w:basedOn w:val="627"/>
    <w:link w:val="469"/>
    <w:uiPriority w:val="10"/>
    <w:rPr>
      <w:sz w:val="48"/>
      <w:szCs w:val="48"/>
    </w:rPr>
  </w:style>
  <w:style w:type="paragraph" w:styleId="471">
    <w:name w:val="Subtitle"/>
    <w:basedOn w:val="626"/>
    <w:next w:val="626"/>
    <w:link w:val="472"/>
    <w:qFormat/>
    <w:uiPriority w:val="11"/>
    <w:rPr>
      <w:sz w:val="24"/>
      <w:szCs w:val="24"/>
    </w:rPr>
    <w:pPr>
      <w:spacing w:after="200" w:before="200"/>
    </w:pPr>
  </w:style>
  <w:style w:type="character" w:styleId="472">
    <w:name w:val="Subtitle Char"/>
    <w:basedOn w:val="627"/>
    <w:link w:val="471"/>
    <w:uiPriority w:val="11"/>
    <w:rPr>
      <w:sz w:val="24"/>
      <w:szCs w:val="24"/>
    </w:rPr>
  </w:style>
  <w:style w:type="paragraph" w:styleId="473">
    <w:name w:val="Quote"/>
    <w:basedOn w:val="626"/>
    <w:next w:val="626"/>
    <w:link w:val="474"/>
    <w:qFormat/>
    <w:uiPriority w:val="29"/>
    <w:rPr>
      <w:i/>
    </w:rPr>
    <w:pPr>
      <w:ind w:left="720" w:right="720"/>
    </w:pPr>
  </w:style>
  <w:style w:type="character" w:styleId="474">
    <w:name w:val="Quote Char"/>
    <w:link w:val="473"/>
    <w:uiPriority w:val="29"/>
    <w:rPr>
      <w:i/>
    </w:rPr>
  </w:style>
  <w:style w:type="paragraph" w:styleId="475">
    <w:name w:val="Intense Quote"/>
    <w:basedOn w:val="626"/>
    <w:next w:val="626"/>
    <w:link w:val="476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76">
    <w:name w:val="Intense Quote Char"/>
    <w:link w:val="475"/>
    <w:uiPriority w:val="30"/>
    <w:rPr>
      <w:i/>
    </w:rPr>
  </w:style>
  <w:style w:type="paragraph" w:styleId="477">
    <w:name w:val="Header"/>
    <w:basedOn w:val="626"/>
    <w:link w:val="478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78">
    <w:name w:val="Header Char"/>
    <w:basedOn w:val="627"/>
    <w:link w:val="477"/>
    <w:uiPriority w:val="99"/>
  </w:style>
  <w:style w:type="paragraph" w:styleId="479">
    <w:name w:val="Footer"/>
    <w:basedOn w:val="626"/>
    <w:link w:val="482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80">
    <w:name w:val="Footer Char"/>
    <w:basedOn w:val="627"/>
    <w:link w:val="479"/>
    <w:uiPriority w:val="99"/>
  </w:style>
  <w:style w:type="paragraph" w:styleId="481">
    <w:name w:val="Caption"/>
    <w:basedOn w:val="626"/>
    <w:next w:val="62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82">
    <w:name w:val="Caption Char"/>
    <w:basedOn w:val="481"/>
    <w:link w:val="479"/>
    <w:uiPriority w:val="99"/>
  </w:style>
  <w:style w:type="table" w:styleId="483">
    <w:name w:val="Table Grid"/>
    <w:basedOn w:val="628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4">
    <w:name w:val="Table Grid Light"/>
    <w:basedOn w:val="62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5">
    <w:name w:val="Plain Table 1"/>
    <w:basedOn w:val="62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6">
    <w:name w:val="Plain Table 2"/>
    <w:basedOn w:val="628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7">
    <w:name w:val="Plain Table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88">
    <w:name w:val="Plain Table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9">
    <w:name w:val="Plain Table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90">
    <w:name w:val="Grid Table 1 Light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1">
    <w:name w:val="Grid Table 1 Light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>
    <w:name w:val="Grid Table 1 Light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Grid Table 1 Light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Grid Table 1 Light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Grid Table 1 Light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>
    <w:name w:val="Grid Table 1 Light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7">
    <w:name w:val="Grid Table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Grid Table 2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99">
    <w:name w:val="Grid Table 2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Grid Table 2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01">
    <w:name w:val="Grid Table 2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02">
    <w:name w:val="Grid Table 2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3">
    <w:name w:val="Grid Table 2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4">
    <w:name w:val="Grid Table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5">
    <w:name w:val="Grid Table 3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6">
    <w:name w:val="Grid Table 3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7">
    <w:name w:val="Grid Table 3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8">
    <w:name w:val="Grid Table 3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9">
    <w:name w:val="Grid Table 3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0">
    <w:name w:val="Grid Table 3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1">
    <w:name w:val="Grid Table 4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12">
    <w:name w:val="Grid Table 4 - Accent 1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13">
    <w:name w:val="Grid Table 4 - Accent 2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14">
    <w:name w:val="Grid Table 4 - Accent 3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15">
    <w:name w:val="Grid Table 4 - Accent 4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16">
    <w:name w:val="Grid Table 4 - Accent 5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17">
    <w:name w:val="Grid Table 4 - Accent 6"/>
    <w:basedOn w:val="62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18">
    <w:name w:val="Grid Table 5 Dark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519">
    <w:name w:val="Grid Table 5 Dark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520">
    <w:name w:val="Grid Table 5 Dark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521">
    <w:name w:val="Grid Table 5 Dark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522">
    <w:name w:val="Grid Table 5 Dark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523">
    <w:name w:val="Grid Table 5 Dark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524">
    <w:name w:val="Grid Table 5 Dark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525">
    <w:name w:val="Grid Table 6 Colorful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26">
    <w:name w:val="Grid Table 6 Colorful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27">
    <w:name w:val="Grid Table 6 Colorful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28">
    <w:name w:val="Grid Table 6 Colorful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29">
    <w:name w:val="Grid Table 6 Colorful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30">
    <w:name w:val="Grid Table 6 Colorful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31">
    <w:name w:val="Grid Table 6 Colorful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32">
    <w:name w:val="Grid Table 7 Colorful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3">
    <w:name w:val="Grid Table 7 Colorful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34">
    <w:name w:val="Grid Table 7 Colorful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5">
    <w:name w:val="Grid Table 7 Colorful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36">
    <w:name w:val="Grid Table 7 Colorful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7">
    <w:name w:val="Grid Table 7 Colorful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38">
    <w:name w:val="Grid Table 7 Colorful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39">
    <w:name w:val="List Table 1 Light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40">
    <w:name w:val="List Table 1 Light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41">
    <w:name w:val="List Table 1 Light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42">
    <w:name w:val="List Table 1 Light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43">
    <w:name w:val="List Table 1 Light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44">
    <w:name w:val="List Table 1 Light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5">
    <w:name w:val="List Table 1 Light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46">
    <w:name w:val="List Table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47">
    <w:name w:val="List Table 2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48">
    <w:name w:val="List Table 2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49">
    <w:name w:val="List Table 2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50">
    <w:name w:val="List Table 2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51">
    <w:name w:val="List Table 2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52">
    <w:name w:val="List Table 2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53">
    <w:name w:val="List Table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4">
    <w:name w:val="List Table 3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5">
    <w:name w:val="List Table 3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6">
    <w:name w:val="List Table 3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7">
    <w:name w:val="List Table 3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>
    <w:name w:val="List Table 3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9">
    <w:name w:val="List Table 3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0">
    <w:name w:val="List Table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1">
    <w:name w:val="List Table 4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2">
    <w:name w:val="List Table 4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3">
    <w:name w:val="List Table 4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4">
    <w:name w:val="List Table 4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5">
    <w:name w:val="List Table 4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6">
    <w:name w:val="List Table 4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7">
    <w:name w:val="List Table 5 Dark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8">
    <w:name w:val="List Table 5 Dark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9">
    <w:name w:val="List Table 5 Dark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0">
    <w:name w:val="List Table 5 Dark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1">
    <w:name w:val="List Table 5 Dark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2">
    <w:name w:val="List Table 5 Dark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3">
    <w:name w:val="List Table 5 Dark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4">
    <w:name w:val="List Table 6 Colorful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75">
    <w:name w:val="List Table 6 Colorful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76">
    <w:name w:val="List Table 6 Colorful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77">
    <w:name w:val="List Table 6 Colorful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78">
    <w:name w:val="List Table 6 Colorful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79">
    <w:name w:val="List Table 6 Colorful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80">
    <w:name w:val="List Table 6 Colorful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81">
    <w:name w:val="List Table 7 Colorful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82">
    <w:name w:val="List Table 7 Colorful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83">
    <w:name w:val="List Table 7 Colorful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84">
    <w:name w:val="List Table 7 Colorful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85">
    <w:name w:val="List Table 7 Colorful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86">
    <w:name w:val="List Table 7 Colorful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87">
    <w:name w:val="List Table 7 Colorful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88">
    <w:name w:val="Lined - Accent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89">
    <w:name w:val="Lined - Accent 1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90">
    <w:name w:val="Lined - Accent 2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91">
    <w:name w:val="Lined - Accent 3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92">
    <w:name w:val="Lined - Accent 4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93">
    <w:name w:val="Lined - Accent 5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94">
    <w:name w:val="Lined - Accent 6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95">
    <w:name w:val="Bordered &amp; Lined - Accent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96">
    <w:name w:val="Bordered &amp; Lined - Accent 1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97">
    <w:name w:val="Bordered &amp; Lined - Accent 2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98">
    <w:name w:val="Bordered &amp; Lined - Accent 3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99">
    <w:name w:val="Bordered &amp; Lined - Accent 4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00">
    <w:name w:val="Bordered &amp; Lined - Accent 5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01">
    <w:name w:val="Bordered &amp; Lined - Accent 6"/>
    <w:basedOn w:val="62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02">
    <w:name w:val="Bordered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03">
    <w:name w:val="Bordered - Accent 1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04">
    <w:name w:val="Bordered - Accent 2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05">
    <w:name w:val="Bordered - Accent 3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06">
    <w:name w:val="Bordered - Accent 4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07">
    <w:name w:val="Bordered - Accent 5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08">
    <w:name w:val="Bordered - Accent 6"/>
    <w:basedOn w:val="62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609">
    <w:name w:val="Hyperlink"/>
    <w:uiPriority w:val="99"/>
    <w:unhideWhenUsed/>
    <w:rPr>
      <w:color w:val="0000FF" w:themeColor="hyperlink"/>
      <w:u w:val="single"/>
    </w:rPr>
  </w:style>
  <w:style w:type="paragraph" w:styleId="610">
    <w:name w:val="footnote text"/>
    <w:basedOn w:val="626"/>
    <w:link w:val="611"/>
    <w:uiPriority w:val="99"/>
    <w:semiHidden/>
    <w:unhideWhenUsed/>
    <w:rPr>
      <w:sz w:val="18"/>
    </w:rPr>
    <w:pPr>
      <w:spacing w:lineRule="auto" w:line="240" w:after="40"/>
    </w:pPr>
  </w:style>
  <w:style w:type="character" w:styleId="611">
    <w:name w:val="Footnote Text Char"/>
    <w:link w:val="610"/>
    <w:uiPriority w:val="99"/>
    <w:rPr>
      <w:sz w:val="18"/>
    </w:rPr>
  </w:style>
  <w:style w:type="character" w:styleId="612">
    <w:name w:val="footnote reference"/>
    <w:basedOn w:val="627"/>
    <w:uiPriority w:val="99"/>
    <w:unhideWhenUsed/>
    <w:rPr>
      <w:vertAlign w:val="superscript"/>
    </w:rPr>
  </w:style>
  <w:style w:type="paragraph" w:styleId="613">
    <w:name w:val="endnote text"/>
    <w:basedOn w:val="626"/>
    <w:link w:val="614"/>
    <w:uiPriority w:val="99"/>
    <w:semiHidden/>
    <w:unhideWhenUsed/>
    <w:rPr>
      <w:sz w:val="20"/>
    </w:rPr>
    <w:pPr>
      <w:spacing w:lineRule="auto" w:line="240" w:after="0"/>
    </w:pPr>
  </w:style>
  <w:style w:type="character" w:styleId="614">
    <w:name w:val="Endnote Text Char"/>
    <w:link w:val="613"/>
    <w:uiPriority w:val="99"/>
    <w:rPr>
      <w:sz w:val="20"/>
    </w:rPr>
  </w:style>
  <w:style w:type="character" w:styleId="615">
    <w:name w:val="endnote reference"/>
    <w:basedOn w:val="627"/>
    <w:uiPriority w:val="99"/>
    <w:semiHidden/>
    <w:unhideWhenUsed/>
    <w:rPr>
      <w:vertAlign w:val="superscript"/>
    </w:rPr>
  </w:style>
  <w:style w:type="paragraph" w:styleId="616">
    <w:name w:val="toc 1"/>
    <w:basedOn w:val="626"/>
    <w:next w:val="626"/>
    <w:uiPriority w:val="39"/>
    <w:unhideWhenUsed/>
    <w:pPr>
      <w:ind w:left="0" w:right="0" w:firstLine="0"/>
      <w:spacing w:after="57"/>
    </w:pPr>
  </w:style>
  <w:style w:type="paragraph" w:styleId="617">
    <w:name w:val="toc 2"/>
    <w:basedOn w:val="626"/>
    <w:next w:val="626"/>
    <w:uiPriority w:val="39"/>
    <w:unhideWhenUsed/>
    <w:pPr>
      <w:ind w:left="283" w:right="0" w:firstLine="0"/>
      <w:spacing w:after="57"/>
    </w:pPr>
  </w:style>
  <w:style w:type="paragraph" w:styleId="618">
    <w:name w:val="toc 3"/>
    <w:basedOn w:val="626"/>
    <w:next w:val="626"/>
    <w:uiPriority w:val="39"/>
    <w:unhideWhenUsed/>
    <w:pPr>
      <w:ind w:left="567" w:right="0" w:firstLine="0"/>
      <w:spacing w:after="57"/>
    </w:pPr>
  </w:style>
  <w:style w:type="paragraph" w:styleId="619">
    <w:name w:val="toc 4"/>
    <w:basedOn w:val="626"/>
    <w:next w:val="626"/>
    <w:uiPriority w:val="39"/>
    <w:unhideWhenUsed/>
    <w:pPr>
      <w:ind w:left="850" w:right="0" w:firstLine="0"/>
      <w:spacing w:after="57"/>
    </w:pPr>
  </w:style>
  <w:style w:type="paragraph" w:styleId="620">
    <w:name w:val="toc 5"/>
    <w:basedOn w:val="626"/>
    <w:next w:val="626"/>
    <w:uiPriority w:val="39"/>
    <w:unhideWhenUsed/>
    <w:pPr>
      <w:ind w:left="1134" w:right="0" w:firstLine="0"/>
      <w:spacing w:after="57"/>
    </w:pPr>
  </w:style>
  <w:style w:type="paragraph" w:styleId="621">
    <w:name w:val="toc 6"/>
    <w:basedOn w:val="626"/>
    <w:next w:val="626"/>
    <w:uiPriority w:val="39"/>
    <w:unhideWhenUsed/>
    <w:pPr>
      <w:ind w:left="1417" w:right="0" w:firstLine="0"/>
      <w:spacing w:after="57"/>
    </w:pPr>
  </w:style>
  <w:style w:type="paragraph" w:styleId="622">
    <w:name w:val="toc 7"/>
    <w:basedOn w:val="626"/>
    <w:next w:val="626"/>
    <w:uiPriority w:val="39"/>
    <w:unhideWhenUsed/>
    <w:pPr>
      <w:ind w:left="1701" w:right="0" w:firstLine="0"/>
      <w:spacing w:after="57"/>
    </w:pPr>
  </w:style>
  <w:style w:type="paragraph" w:styleId="623">
    <w:name w:val="toc 8"/>
    <w:basedOn w:val="626"/>
    <w:next w:val="626"/>
    <w:uiPriority w:val="39"/>
    <w:unhideWhenUsed/>
    <w:pPr>
      <w:ind w:left="1984" w:right="0" w:firstLine="0"/>
      <w:spacing w:after="57"/>
    </w:pPr>
  </w:style>
  <w:style w:type="paragraph" w:styleId="624">
    <w:name w:val="toc 9"/>
    <w:basedOn w:val="626"/>
    <w:next w:val="626"/>
    <w:uiPriority w:val="39"/>
    <w:unhideWhenUsed/>
    <w:pPr>
      <w:ind w:left="2268" w:right="0" w:firstLine="0"/>
      <w:spacing w:after="57"/>
    </w:pPr>
  </w:style>
  <w:style w:type="paragraph" w:styleId="625">
    <w:name w:val="TOC Heading"/>
    <w:uiPriority w:val="39"/>
    <w:unhideWhenUsed/>
  </w:style>
  <w:style w:type="paragraph" w:styleId="626" w:default="1">
    <w:name w:val="Normal"/>
    <w:qFormat/>
  </w:style>
  <w:style w:type="character" w:styleId="627" w:default="1">
    <w:name w:val="Default Paragraph Font"/>
    <w:uiPriority w:val="1"/>
    <w:semiHidden/>
    <w:unhideWhenUsed/>
  </w:style>
  <w:style w:type="table" w:styleId="6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9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Р7-Офис/6.0.1.37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10</cp:revision>
  <dcterms:created xsi:type="dcterms:W3CDTF">2024-07-15T19:44:00Z</dcterms:created>
  <dcterms:modified xsi:type="dcterms:W3CDTF">2024-08-08T11:26:40Z</dcterms:modified>
</cp:coreProperties>
</file>