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8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</w:r>
      <w:r/>
    </w:p>
    <w:tbl>
      <w:tblPr>
        <w:tblW w:w="31188" w:type="dxa"/>
        <w:tblInd w:w="-42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15594"/>
        <w:gridCol w:w="15594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4" w:type="dxa"/>
            <w:vAlign w:val="bottom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/>
            <w:bookmarkStart w:id="0" w:name="P266"/>
            <w:r/>
            <w:bookmarkEnd w:id="0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ПОРЯДОК</w:t>
            </w:r>
            <w:r/>
          </w:p>
          <w:p>
            <w:pPr>
              <w:pStyle w:val="87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рассмотрения и оценки заявок на участие в конкурсе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4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4" w:type="dxa"/>
            <w:textDirection w:val="lrTb"/>
            <w:noWrap w:val="false"/>
          </w:tcPr>
          <w:p>
            <w:pPr>
              <w:ind w:left="-346" w:firstLine="346"/>
              <w:jc w:val="center"/>
              <w:spacing w:after="0" w:line="240" w:lineRule="auto"/>
              <w:tabs>
                <w:tab w:val="left" w:pos="-360" w:leader="none"/>
                <w:tab w:val="left" w:pos="360" w:leader="none"/>
                <w:tab w:val="left" w:pos="14822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tabs>
                <w:tab w:val="left" w:pos="-360" w:leader="none"/>
                <w:tab w:val="left" w:pos="360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 Информация о заказчике и закупке товаров, работ, услуг </w:t>
            </w:r>
            <w:r/>
          </w:p>
          <w:p>
            <w:pPr>
              <w:jc w:val="center"/>
              <w:spacing w:after="0" w:line="240" w:lineRule="auto"/>
              <w:tabs>
                <w:tab w:val="left" w:pos="-360" w:leader="none"/>
                <w:tab w:val="left" w:pos="360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для обеспечения государственных и муниципальных нужд (далее закупка)</w:t>
            </w:r>
            <w:r/>
          </w:p>
          <w:p>
            <w:pPr>
              <w:jc w:val="center"/>
              <w:spacing w:after="0" w:line="240" w:lineRule="auto"/>
              <w:tabs>
                <w:tab w:val="left" w:pos="-360" w:leader="none"/>
                <w:tab w:val="left" w:pos="360" w:leader="none"/>
              </w:tabs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/>
          </w:p>
          <w:tbl>
            <w:tblPr>
              <w:tblStyle w:val="888"/>
              <w:tblW w:w="15531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091"/>
              <w:gridCol w:w="4479"/>
              <w:gridCol w:w="1985"/>
              <w:gridCol w:w="2976"/>
            </w:tblGrid>
            <w:tr>
              <w:trPr/>
              <w:tc>
                <w:tcPr>
                  <w:tcW w:w="6091" w:type="dxa"/>
                  <w:vAlign w:val="bottom"/>
                  <w:vMerge w:val="restart"/>
                  <w:textDirection w:val="lrTb"/>
                  <w:noWrap w:val="false"/>
                </w:tcPr>
                <w:p>
                  <w:pPr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Полное наименование</w:t>
                  </w:r>
                  <w:r/>
                </w:p>
              </w:tc>
              <w:tc>
                <w:tcPr>
                  <w:tcW w:w="4479" w:type="dxa"/>
                  <w:vMerge w:val="restart"/>
                  <w:textDirection w:val="lrTb"/>
                  <w:noWrap w:val="false"/>
                </w:tcPr>
                <w:p>
                  <w:pPr>
                    <w:jc w:val="both"/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смоленское 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бластное государственное бюджетное профессиональное образовательное учреждение «Верхнеднепровский технологический техникум»</w:t>
                  </w:r>
                  <w:r/>
                </w:p>
              </w:tc>
              <w:tc>
                <w:tcPr>
                  <w:tcBorders>
                    <w:right w:val="single" w:color="auto" w:sz="4" w:space="0"/>
                  </w:tcBorders>
                  <w:tcW w:w="1985" w:type="dxa"/>
                  <w:textDirection w:val="lrTb"/>
                  <w:noWrap w:val="false"/>
                </w:tcPr>
                <w:p>
                  <w:pPr>
                    <w:jc w:val="center"/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/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976" w:type="dxa"/>
                  <w:textDirection w:val="lrTb"/>
                  <w:noWrap w:val="false"/>
                </w:tcPr>
                <w:p>
                  <w:pPr>
                    <w:jc w:val="center"/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Коды </w:t>
                  </w:r>
                  <w:r/>
                </w:p>
              </w:tc>
            </w:tr>
            <w:tr>
              <w:trPr/>
              <w:tc>
                <w:tcPr>
                  <w:tcW w:w="6091" w:type="dxa"/>
                  <w:vMerge w:val="continue"/>
                  <w:textDirection w:val="lrTb"/>
                  <w:noWrap w:val="false"/>
                </w:tcPr>
                <w:p>
                  <w:pPr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/>
                </w:p>
              </w:tc>
              <w:tc>
                <w:tcPr>
                  <w:tcW w:w="4479" w:type="dxa"/>
                  <w:vMerge w:val="continue"/>
                  <w:textDirection w:val="lrTb"/>
                  <w:noWrap w:val="false"/>
                </w:tcPr>
                <w:p>
                  <w:pPr>
                    <w:jc w:val="center"/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/>
                </w:p>
              </w:tc>
              <w:tc>
                <w:tcPr>
                  <w:tcBorders>
                    <w:right w:val="single" w:color="auto" w:sz="4" w:space="0"/>
                  </w:tcBorders>
                  <w:tcW w:w="1985" w:type="dxa"/>
                  <w:textDirection w:val="lrTb"/>
                  <w:noWrap w:val="false"/>
                </w:tcPr>
                <w:p>
                  <w:pPr>
                    <w:jc w:val="right"/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ИНН</w:t>
                  </w:r>
                  <w:r/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976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6704001001</w:t>
                  </w:r>
                  <w:r/>
                </w:p>
              </w:tc>
            </w:tr>
            <w:tr>
              <w:trPr/>
              <w:tc>
                <w:tcPr>
                  <w:tcW w:w="6091" w:type="dxa"/>
                  <w:vMerge w:val="continue"/>
                  <w:textDirection w:val="lrTb"/>
                  <w:noWrap w:val="false"/>
                </w:tcPr>
                <w:p>
                  <w:pPr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/>
                </w:p>
              </w:tc>
              <w:tc>
                <w:tcPr>
                  <w:tcBorders>
                    <w:bottom w:val="single" w:color="auto" w:sz="4" w:space="0"/>
                  </w:tcBorders>
                  <w:tcW w:w="4479" w:type="dxa"/>
                  <w:vMerge w:val="continue"/>
                  <w:textDirection w:val="lrTb"/>
                  <w:noWrap w:val="false"/>
                </w:tcPr>
                <w:p>
                  <w:pPr>
                    <w:jc w:val="center"/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/>
                </w:p>
              </w:tc>
              <w:tc>
                <w:tcPr>
                  <w:tcBorders>
                    <w:right w:val="single" w:color="auto" w:sz="4" w:space="0"/>
                  </w:tcBorders>
                  <w:tcW w:w="1985" w:type="dxa"/>
                  <w:textDirection w:val="lrTb"/>
                  <w:noWrap w:val="false"/>
                </w:tcPr>
                <w:p>
                  <w:pPr>
                    <w:jc w:val="right"/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КПП</w:t>
                  </w:r>
                  <w:r/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976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35383b"/>
                      <w:sz w:val="24"/>
                      <w:szCs w:val="21"/>
                    </w:rPr>
                    <w:t xml:space="preserve">670401001</w:t>
                  </w:r>
                  <w:r/>
                </w:p>
              </w:tc>
            </w:tr>
            <w:tr>
              <w:trPr>
                <w:trHeight w:val="823"/>
              </w:trPr>
              <w:tc>
                <w:tcPr>
                  <w:tcW w:w="6091" w:type="dxa"/>
                  <w:textDirection w:val="lrTb"/>
                  <w:noWrap w:val="false"/>
                </w:tcPr>
                <w:p>
                  <w:pPr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Место нахождения, телефон, адрес электронной почты</w:t>
                  </w:r>
                  <w:r/>
                </w:p>
              </w:tc>
              <w:tc>
                <w:tcPr>
                  <w:tcBorders>
                    <w:top w:val="single" w:color="auto" w:sz="4" w:space="0"/>
                    <w:bottom w:val="single" w:color="auto" w:sz="4" w:space="0"/>
                  </w:tcBorders>
                  <w:tcW w:w="4479" w:type="dxa"/>
                  <w:textDirection w:val="lrTb"/>
                  <w:noWrap w:val="false"/>
                </w:tcPr>
                <w:p>
                  <w:pPr>
                    <w:jc w:val="both"/>
                    <w:tabs>
                      <w:tab w:val="left" w:pos="-360" w:leader="none"/>
                      <w:tab w:val="left" w:pos="360" w:leader="none"/>
                    </w:tabs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215750,Смоленская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обл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пгт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. Верхнеднепровский,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ул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.М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олодежная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д.5, тел (48144)5-34-68,  </w:t>
                  </w:r>
                  <w:r/>
                </w:p>
                <w:p>
                  <w:pPr>
                    <w:jc w:val="both"/>
                    <w:tabs>
                      <w:tab w:val="left" w:pos="-360" w:leader="none"/>
                      <w:tab w:val="left" w:pos="360" w:leader="none"/>
                    </w:tabs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эл. почта: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prouc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17@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yandex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.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ru</w:t>
                  </w:r>
                  <w:r/>
                </w:p>
              </w:tc>
              <w:tc>
                <w:tcPr>
                  <w:tcBorders>
                    <w:right w:val="single" w:color="auto" w:sz="4" w:space="0"/>
                  </w:tcBorders>
                  <w:tcW w:w="1985" w:type="dxa"/>
                  <w:textDirection w:val="lrTb"/>
                  <w:noWrap w:val="false"/>
                </w:tcPr>
                <w:p>
                  <w:pPr>
                    <w:jc w:val="right"/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по ОКТМО</w:t>
                  </w:r>
                  <w:r/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976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35383b"/>
                      <w:sz w:val="24"/>
                      <w:szCs w:val="21"/>
                    </w:rPr>
                    <w:t xml:space="preserve">66514000</w:t>
                  </w:r>
                  <w:r/>
                </w:p>
              </w:tc>
            </w:tr>
            <w:tr>
              <w:trPr/>
              <w:tc>
                <w:tcPr>
                  <w:tcW w:w="6091" w:type="dxa"/>
                  <w:vMerge w:val="restart"/>
                  <w:textDirection w:val="lrTb"/>
                  <w:noWrap w:val="false"/>
                </w:tcPr>
                <w:p>
                  <w:pPr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      </w:r>
                  <w:r/>
                </w:p>
              </w:tc>
              <w:tc>
                <w:tcPr>
                  <w:tcBorders>
                    <w:top w:val="single" w:color="auto" w:sz="4" w:space="0"/>
                    <w:bottom w:val="single" w:color="auto" w:sz="4" w:space="0"/>
                  </w:tcBorders>
                  <w:tcW w:w="4479" w:type="dxa"/>
                  <w:vMerge w:val="restart"/>
                  <w:textDirection w:val="lrTb"/>
                  <w:noWrap w:val="false"/>
                </w:tcPr>
                <w:p>
                  <w:pPr>
                    <w:jc w:val="center"/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/>
                  <w:bookmarkStart w:id="1" w:name="_GoBack"/>
                  <w:r/>
                  <w:bookmarkEnd w:id="1"/>
                  <w:r/>
                  <w:r/>
                </w:p>
              </w:tc>
              <w:tc>
                <w:tcPr>
                  <w:tcBorders>
                    <w:right w:val="single" w:color="auto" w:sz="4" w:space="0"/>
                  </w:tcBorders>
                  <w:tcW w:w="1985" w:type="dxa"/>
                  <w:textDirection w:val="lrTb"/>
                  <w:noWrap w:val="false"/>
                </w:tcPr>
                <w:p>
                  <w:pPr>
                    <w:jc w:val="right"/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ИНН</w:t>
                  </w:r>
                  <w:r/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976" w:type="dxa"/>
                  <w:textDirection w:val="lrTb"/>
                  <w:noWrap w:val="false"/>
                </w:tcPr>
                <w:p>
                  <w:pPr>
                    <w:jc w:val="center"/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/>
                </w:p>
              </w:tc>
            </w:tr>
            <w:tr>
              <w:trPr>
                <w:trHeight w:val="562"/>
              </w:trPr>
              <w:tc>
                <w:tcPr>
                  <w:tcW w:w="6091" w:type="dxa"/>
                  <w:vMerge w:val="continue"/>
                  <w:textDirection w:val="lrTb"/>
                  <w:noWrap w:val="false"/>
                </w:tcPr>
                <w:p>
                  <w:pPr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/>
                </w:p>
              </w:tc>
              <w:tc>
                <w:tcPr>
                  <w:tcBorders>
                    <w:bottom w:val="single" w:color="auto" w:sz="4" w:space="0"/>
                  </w:tcBorders>
                  <w:tcW w:w="4479" w:type="dxa"/>
                  <w:vMerge w:val="continue"/>
                  <w:textDirection w:val="lrTb"/>
                  <w:noWrap w:val="false"/>
                </w:tcPr>
                <w:p>
                  <w:pPr>
                    <w:jc w:val="center"/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/>
                </w:p>
              </w:tc>
              <w:tc>
                <w:tcPr>
                  <w:tcBorders>
                    <w:right w:val="single" w:color="auto" w:sz="4" w:space="0"/>
                  </w:tcBorders>
                  <w:tcW w:w="1985" w:type="dxa"/>
                  <w:textDirection w:val="lrTb"/>
                  <w:noWrap w:val="false"/>
                </w:tcPr>
                <w:p>
                  <w:pPr>
                    <w:jc w:val="right"/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КПП</w:t>
                  </w:r>
                  <w:r/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tcW w:w="2976" w:type="dxa"/>
                  <w:textDirection w:val="lrTb"/>
                  <w:noWrap w:val="false"/>
                </w:tcPr>
                <w:p>
                  <w:pPr>
                    <w:jc w:val="center"/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/>
                </w:p>
              </w:tc>
            </w:tr>
            <w:tr>
              <w:trPr/>
              <w:tc>
                <w:tcPr>
                  <w:tcW w:w="6091" w:type="dxa"/>
                  <w:textDirection w:val="lrTb"/>
                  <w:noWrap w:val="false"/>
                </w:tcPr>
                <w:p>
                  <w:pPr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Место нахождения, телефон, адрес электронной почты</w:t>
                  </w:r>
                  <w:r/>
                </w:p>
              </w:tc>
              <w:tc>
                <w:tcPr>
                  <w:tcBorders>
                    <w:top w:val="single" w:color="auto" w:sz="4" w:space="0"/>
                    <w:bottom w:val="single" w:color="auto" w:sz="4" w:space="0"/>
                  </w:tcBorders>
                  <w:tcW w:w="4479" w:type="dxa"/>
                  <w:textDirection w:val="lrTb"/>
                  <w:noWrap w:val="false"/>
                </w:tcPr>
                <w:p>
                  <w:pPr>
                    <w:jc w:val="center"/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/>
                </w:p>
              </w:tc>
              <w:tc>
                <w:tcPr>
                  <w:tcBorders>
                    <w:bottom w:val="single" w:color="auto" w:sz="4" w:space="0"/>
                    <w:right w:val="single" w:color="auto" w:sz="4" w:space="0"/>
                  </w:tcBorders>
                  <w:tcW w:w="1985" w:type="dxa"/>
                  <w:textDirection w:val="lrTb"/>
                  <w:noWrap w:val="false"/>
                </w:tcPr>
                <w:p>
                  <w:pPr>
                    <w:jc w:val="right"/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по ОКТМО</w:t>
                  </w:r>
                  <w:r/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976" w:type="dxa"/>
                  <w:textDirection w:val="lrTb"/>
                  <w:noWrap w:val="false"/>
                </w:tcPr>
                <w:p>
                  <w:pPr>
                    <w:jc w:val="center"/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/>
                </w:p>
              </w:tc>
            </w:tr>
            <w:tr>
              <w:trPr>
                <w:trHeight w:val="1696"/>
              </w:trPr>
              <w:tc>
                <w:tcPr>
                  <w:tcW w:w="6091" w:type="dxa"/>
                  <w:textDirection w:val="lrTb"/>
                  <w:noWrap w:val="false"/>
                </w:tcPr>
                <w:p>
                  <w:pPr>
                    <w:tabs>
                      <w:tab w:val="left" w:pos="-360" w:leader="none"/>
                      <w:tab w:val="left" w:pos="360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Наименование объекта закупки</w:t>
                  </w:r>
                  <w:r/>
                </w:p>
              </w:tc>
              <w:tc>
                <w:tcPr>
                  <w:gridSpan w:val="3"/>
                  <w:tcBorders>
                    <w:bottom w:val="single" w:color="auto" w:sz="4" w:space="0"/>
                    <w:right w:val="single" w:color="auto" w:sz="4" w:space="0"/>
                  </w:tcBorders>
                  <w:tcW w:w="9440" w:type="dxa"/>
                  <w:textDirection w:val="lrTb"/>
                  <w:noWrap w:val="false"/>
                </w:tcPr>
                <w:p>
                  <w:pPr>
                    <w:jc w:val="both"/>
                    <w:tabs>
                      <w:tab w:val="left" w:pos="284" w:leader="none"/>
                    </w:tabs>
                    <w:rPr>
                      <w:rFonts w:ascii="Times New Roman" w:hAnsi="Times New Roman" w:eastAsia="Times New Roman" w:cs="Times New Roman"/>
                      <w:sz w:val="24"/>
                      <w:szCs w:val="24"/>
                      <w:highlight w:val="yellow"/>
                    </w:rPr>
                  </w:pPr>
                  <w:r>
                    <w:rPr>
                      <w:rFonts w:ascii="Times New Roman" w:hAnsi="Times New Roman" w:eastAsia="Andale Sans UI"/>
                      <w:color w:val="000000" w:themeColor="text1"/>
                      <w:sz w:val="24"/>
                      <w:szCs w:val="24"/>
                      <w:lang w:eastAsia="fa-IR" w:bidi="fa-IR"/>
                    </w:rPr>
                    <w:t xml:space="preserve">выполнение работ по капитальному ремонту фасада учебного корпуса СОГБПОУ «Верхнеднепровский технологический </w:t>
                  </w:r>
                  <w:r>
                    <w:rPr>
                      <w:rFonts w:ascii="Times New Roman" w:hAnsi="Times New Roman" w:eastAsia="Andale Sans UI"/>
                      <w:color w:val="000000" w:themeColor="text1"/>
                      <w:sz w:val="24"/>
                      <w:szCs w:val="24"/>
                      <w:lang w:eastAsia="fa-IR" w:bidi="fa-IR"/>
                    </w:rPr>
                    <w:t xml:space="preserve">техникум», расположенного по адресу: </w:t>
                  </w:r>
                  <w:r>
                    <w:rPr>
                      <w:rFonts w:ascii="Times New Roman" w:hAnsi="Times New Roman" w:eastAsia="Andale Sans UI"/>
                      <w:color w:val="000000" w:themeColor="text1"/>
                      <w:sz w:val="24"/>
                      <w:szCs w:val="24"/>
                      <w:lang w:eastAsia="fa-IR" w:bidi="fa-IR"/>
                    </w:rPr>
                    <w:t xml:space="preserve">пгт</w:t>
                  </w:r>
                  <w:r>
                    <w:rPr>
                      <w:rFonts w:ascii="Times New Roman" w:hAnsi="Times New Roman" w:eastAsia="Andale Sans UI"/>
                      <w:color w:val="000000" w:themeColor="text1"/>
                      <w:sz w:val="24"/>
                      <w:szCs w:val="24"/>
                      <w:lang w:eastAsia="fa-IR" w:bidi="fa-IR"/>
                    </w:rPr>
                    <w:t xml:space="preserve">. Верхнеднепровский, ул. Молодежная, д.5</w:t>
                  </w:r>
                  <w:r/>
                </w:p>
              </w:tc>
            </w:tr>
          </w:tbl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4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</w:tbl>
    <w:p>
      <w:pPr>
        <w:pStyle w:val="8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78"/>
        <w:jc w:val="both"/>
        <w:rPr>
          <w:rFonts w:ascii="Times New Roman" w:hAnsi="Times New Roman" w:cs="Times New Roman"/>
          <w:b/>
          <w:sz w:val="24"/>
          <w:szCs w:val="24"/>
        </w:rPr>
      </w:pPr>
      <w:r/>
      <w:bookmarkStart w:id="2" w:name="P306"/>
      <w:r/>
      <w:bookmarkEnd w:id="2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II</w:t>
      </w:r>
      <w:r>
        <w:rPr>
          <w:rFonts w:ascii="Times New Roman" w:hAnsi="Times New Roman" w:cs="Times New Roman"/>
          <w:b/>
          <w:sz w:val="24"/>
          <w:szCs w:val="24"/>
        </w:rPr>
        <w:t xml:space="preserve">. Критерии и показатели оценки заявок на участие в закупке</w:t>
      </w:r>
      <w:r/>
    </w:p>
    <w:p>
      <w:pPr>
        <w:pStyle w:val="87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tbl>
      <w:tblPr>
        <w:tblpPr w:horzAnchor="text" w:tblpXSpec="right" w:vertAnchor="text" w:tblpY="1" w:leftFromText="180" w:topFromText="0" w:rightFromText="180" w:bottomFromText="0"/>
        <w:tblW w:w="15163" w:type="dxa"/>
        <w:tblBorders>
          <w:top w:val="single" w:color="auto" w:sz="4" w:space="0"/>
          <w:bottom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54"/>
        <w:gridCol w:w="2093"/>
        <w:gridCol w:w="1559"/>
        <w:gridCol w:w="1418"/>
        <w:gridCol w:w="1417"/>
        <w:gridCol w:w="1985"/>
        <w:gridCol w:w="1842"/>
        <w:gridCol w:w="4395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454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№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093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Критерий оценки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Значимость критерия оценки, процентов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Показатель оценки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Значимость показателя оценки, процентов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Показатель оценки, детализирующий показатель оценки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Значимость показателя, детализирующего показатель оценки, процентов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4395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Формула оценки или шкала оценки</w:t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454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093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Цена контракта, сумма цен единиц товара, работы, услуги</w:t>
            </w:r>
            <w:r/>
          </w:p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878"/>
              <w:tabs>
                <w:tab w:val="left" w:pos="600" w:leader="none"/>
                <w:tab w:val="center" w:pos="717" w:leader="none"/>
              </w:tabs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ab/>
            </w:r>
            <w:r>
              <w:rPr>
                <w:rFonts w:ascii="Times New Roman" w:hAnsi="Times New Roman" w:cs="Times New Roman"/>
                <w:color w:val="0070c0"/>
              </w:rPr>
              <w:tab/>
            </w:r>
            <w:hyperlink w:tooltip="#P466" w:anchor="P466" w:history="1">
              <w:r>
                <w:rPr>
                  <w:rFonts w:ascii="Times New Roman" w:hAnsi="Times New Roman" w:cs="Times New Roman"/>
                  <w:color w:val="0070c0"/>
                </w:rPr>
                <w:t xml:space="preserve">60</w:t>
              </w:r>
            </w:hyperlink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43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оценка заявок осуществляется по формулам, предусмотренным </w:t>
            </w:r>
            <w:hyperlink w:tooltip="#P88" w:anchor="P88" w:history="1">
              <w:r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eastAsia="ru-RU"/>
                </w:rPr>
                <w:t xml:space="preserve">пунктами 9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или </w:t>
            </w:r>
            <w:hyperlink w:tooltip="#P104" w:anchor="P104" w:history="1">
              <w:r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eastAsia="ru-RU"/>
                </w:rPr>
                <w:t xml:space="preserve">10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Положения об оценке заявок на участие в закупке товаров, работ, услуг для обеспечения государственных и муниципальных нужд, утвержденного постановлением Правительства Российской Федерации от 31 декабря 2021 г. N 2604 "Об оценке заявок на участие в закупке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товаров, работ, услуг для обеспечения государственных и муниципальных нужд, внесении изменений в пункт 4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постановления Правительства Российской Федерации от 20 декабря 2021 г. N 2369 и признании утратившими силу некоторых актов и отдельных положений некото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рых актов Правительства Российской Федерации" (далее - Положение)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Согласно пункту 9 Положения: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Значение количества баллов по критерию оценки "цена контракта, сумма цен единиц товара, работы, услуги", присваиваемое заявке, которая подлежит в соответствии с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Федеральным законом "О контрактной системе в сфере закупок товаров, работ, услуг для обеспечения государственных и муниципальных нужд" (далее - Федеральный закон) оценке по указанному критерию оценки, (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БЦi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) определяется по одной из следующих формул: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а) за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исключением случаев, предусмотренных подпунктом "б" настоящего пункта и пунктом 10 настоящего Положения, - по формуле: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704975" cy="447675"/>
                      <wp:effectExtent l="0" t="0" r="0" b="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704974" cy="44767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134.2pt;height:35.2pt;mso-wrap-distance-left:0.0pt;mso-wrap-distance-top:0.0pt;mso-wrap-distance-right:0.0pt;mso-wrap-distance-bottom:0.0pt;" stroked="false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где: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Ц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i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- предложение участника закупки о цене контракта, заявка (часть заявки) которого подлежит в соответствии с Федеральным законо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 оценке по критерию оценки "цена контракта, сумма цен единиц товара, работы, услуги" (далее - ценовое предложение);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Цл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- наилучшее ценовое предложение из числа предложенных в соответствии с Федеральным законом участниками закупки, заявки (части заявки) ко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торых подлежат оценке по критерию оценки "цена контракта, сумма цен единиц товара, работы, услуги".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б) в случае если по результатам применения формулы, предусмотренной подпунктом "а" настоящего пункта, при оценке хотя бы одной заявки получено значение, явл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яющееся отрицательным числом, значение количества баллов по критерию оценки "цена контракта, сумма цен единиц товара, работы, услуги" всем заявкам, подлежащим в соответствии с Федеральным законом оценке по указанному критерию оценки (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БЦi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), определяется по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формуле:</w:t>
            </w:r>
            <w:r/>
          </w:p>
          <w:p>
            <w:pPr>
              <w:jc w:val="center"/>
              <w:spacing w:after="0" w:line="240" w:lineRule="auto"/>
              <w:widowControl w:val="off"/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076450" cy="371475"/>
                      <wp:effectExtent l="0" t="0" r="0" b="0"/>
                      <wp:docPr id="2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076449" cy="3714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63.5pt;height:29.2pt;mso-wrap-distance-left:0.0pt;mso-wrap-distance-top:0.0pt;mso-wrap-distance-right:0.0pt;mso-wrap-distance-bottom:0.0pt;" stroked="false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где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Цнач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- начальная (максимальная) цена контракта (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. "б"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введен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ПП РФ от 31.10.2022 N 1946)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Согласно пункту 10 Положения: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Если при проведении процедуры под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ачи предложений о цене контракта в соответствии с Федеральным законом подано ценовое предложение, предусматривающее снижение цены контракта ниже нуля, значение количества баллов по критерию оценки "цена контракта, сумма цен единиц товара, работы, услуги" (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БЦ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i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) определяется в следующем порядке: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а) для подлежащей в соответствии с Федеральным законом оценке заявки участника закупки, ценовое предложение которого не предусматривает снижение цены контракта ниже нуля, по критерию оценки "цена контракта, сумма цен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единиц товара, работы, услуги" значение количества баллов по указанному критерию оценки (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БЦ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i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) определяется по формуле: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33600" cy="447675"/>
                      <wp:effectExtent l="0" t="0" r="0" b="0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133599" cy="44767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68.0pt;height:35.2pt;mso-wrap-distance-left:0.0pt;mso-wrap-distance-top:0.0pt;mso-wrap-distance-right:0.0pt;mso-wrap-distance-bottom:0.0pt;" stroked="false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(в ред. ПП РФ от 31.10.2022 N 1946)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б) для подлежащей в соответствии с Федеральным законом оценке заявки участника закупки, ценовое 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редложение которого предусматривает снижение цены контракта ниже нуля, по критерию оценки "цена контракта, сумма цен единиц товара, работы, услуги" значение количества баллов по указанному критерию оценки (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БЦ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i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) определяется по формуле:</w:t>
            </w:r>
            <w:r/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885950" cy="447675"/>
                      <wp:effectExtent l="0" t="0" r="0" b="0"/>
                      <wp:docPr id="4" name="Рисунок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85950" cy="44767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48.5pt;height:35.2pt;mso-wrap-distance-left:0.0pt;mso-wrap-distance-top:0.0pt;mso-wrap-distance-right:0.0pt;mso-wrap-distance-bottom:0.0pt;" stroked="false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69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454" w:type="dxa"/>
            <w:vAlign w:val="center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093" w:type="dxa"/>
            <w:vAlign w:val="center"/>
            <w:textDirection w:val="lrTb"/>
            <w:noWrap w:val="false"/>
          </w:tcPr>
          <w:p>
            <w:pPr>
              <w:pStyle w:val="87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</w:t>
            </w:r>
            <w:r>
              <w:rPr>
                <w:rFonts w:ascii="Times New Roman" w:hAnsi="Times New Roman" w:cs="Times New Roman"/>
              </w:rPr>
              <w:t xml:space="preserve">в и иных работников определенного уровня квалификации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color w:val="0070c0"/>
              </w:rPr>
            </w:pPr>
            <w:r/>
            <w:hyperlink w:tooltip="#P466" w:anchor="P466" w:history="1">
              <w:r>
                <w:rPr>
                  <w:rFonts w:ascii="Times New Roman" w:hAnsi="Times New Roman" w:eastAsia="Calibri" w:cs="Times New Roman"/>
                  <w:color w:val="0070c0"/>
                </w:rPr>
                <w:t xml:space="preserve">40</w:t>
              </w:r>
            </w:hyperlink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наличие у участников закупки опыта работы, связанного с предметом контракта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color w:val="000000"/>
              </w:rPr>
            </w:pPr>
            <w:r/>
            <w:hyperlink w:tooltip="#P466" w:anchor="P466" w:history="1">
              <w:r>
                <w:rPr>
                  <w:rFonts w:ascii="Times New Roman" w:hAnsi="Times New Roman" w:eastAsia="Calibri" w:cs="Times New Roman"/>
                  <w:color w:val="0070c0"/>
                </w:rPr>
                <w:t xml:space="preserve">100</w:t>
              </w:r>
            </w:hyperlink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характеристика квалификации участников закупки </w:t>
            </w:r>
            <w:r/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N 1</w:t>
            </w:r>
            <w:r/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наибольшая цена одного из исполненных участником закупки договоров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)</w:t>
            </w:r>
            <w:r/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/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eastAsia="Calibri" w:cs="Times New Roman"/>
                <w:color w:val="0070c0"/>
              </w:rPr>
            </w:pPr>
            <w:r/>
            <w:hyperlink w:tooltip="#P466" w:anchor="P466" w:history="1">
              <w:r>
                <w:rPr>
                  <w:rFonts w:ascii="Times New Roman" w:hAnsi="Times New Roman" w:eastAsia="Calibri" w:cs="Times New Roman"/>
                  <w:color w:val="0070c0"/>
                </w:rPr>
                <w:t xml:space="preserve">50</w:t>
              </w:r>
            </w:hyperlink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4395" w:type="dxa"/>
            <w:textDirection w:val="lrTb"/>
            <w:noWrap w:val="false"/>
          </w:tcPr>
          <w:p>
            <w:pPr>
              <w:jc w:val="both"/>
              <w:spacing w:after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Оценка заявок осуществляется по формуле, предусмотренной подпунктом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«Б»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ункта 20 Положения:</w:t>
            </w:r>
            <w:r/>
          </w:p>
          <w:p>
            <w:pPr>
              <w:jc w:val="both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 случае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если лучшим является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наибольшее значение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характеристики объекта закупки, - по формул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е:</w:t>
            </w:r>
            <w:r/>
          </w:p>
          <w:p>
            <w:pPr>
              <w:pStyle w:val="878"/>
            </w:pPr>
            <w:r/>
            <w:r/>
          </w:p>
          <w:p>
            <w:pPr>
              <w:pStyle w:val="878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924050" cy="371475"/>
                      <wp:effectExtent l="0" t="0" r="0" b="0"/>
                      <wp:docPr id="5" name="Рисунок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24048" cy="3714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51.5pt;height:29.2pt;mso-wrap-distance-left:0.0pt;mso-wrap-distance-top:0.0pt;mso-wrap-distance-right:0.0pt;mso-wrap-distance-bottom:0.0pt;" stroked="false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/>
          </w:p>
          <w:p>
            <w:pPr>
              <w:jc w:val="both"/>
              <w:spacing w:after="0" w:line="240" w:lineRule="auto"/>
            </w:pPr>
            <w:r/>
            <w:r/>
          </w:p>
          <w:p>
            <w:pPr>
              <w:jc w:val="both"/>
              <w:spacing w:after="0" w:line="240" w:lineRule="auto"/>
              <w:shd w:val="clear" w:color="auto" w:fill="ffffff" w:themeFill="background1"/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где:</w:t>
            </w:r>
            <w:r/>
          </w:p>
          <w:p>
            <w:pPr>
              <w:jc w:val="both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max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максимальное значение характеристики объекта закупки, содержащееся в заявках (частях заявок), подлежащих в соответствии с Федеральным законом оценке по критерию оценки;</w:t>
            </w:r>
            <w:r/>
          </w:p>
          <w:p>
            <w:pPr>
              <w:jc w:val="both"/>
              <w:spacing w:after="0" w:line="240" w:lineRule="auto"/>
            </w:pPr>
            <w:r/>
            <w:r/>
          </w:p>
          <w:p>
            <w:pPr>
              <w:jc w:val="both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i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значение характеристики объекта закупки, содержащееся в предложении участника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закупки, заявка (часть заявки) которого подлежит в соответствии с Федеральным законом оценке по критерию оценки</w:t>
            </w:r>
            <w:r/>
          </w:p>
          <w:p>
            <w:pPr>
              <w:jc w:val="both"/>
              <w:spacing w:after="0" w:line="240" w:lineRule="auto"/>
            </w:pPr>
            <w:r/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ff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min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минимальное значение характеристики объекта закупки, содержащееся в заявках (частях заявок), подлежащих в соответствии с Федеральным законом оценке по критерию оценки </w:t>
            </w:r>
            <w:r/>
          </w:p>
        </w:tc>
      </w:tr>
      <w:tr>
        <w:trPr>
          <w:trHeight w:val="697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54" w:type="dxa"/>
            <w:vAlign w:val="center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2093" w:type="dxa"/>
            <w:vAlign w:val="center"/>
            <w:vMerge w:val="restart"/>
            <w:textDirection w:val="lrTb"/>
            <w:noWrap w:val="false"/>
          </w:tcPr>
          <w:p>
            <w:pPr>
              <w:pStyle w:val="87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78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pStyle w:val="878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характеристика квалификации участников закупки </w:t>
            </w:r>
            <w:r/>
          </w:p>
          <w:p>
            <w:pPr>
              <w:jc w:val="center"/>
              <w:spacing w:after="0" w:line="240" w:lineRule="auto"/>
              <w:widowControl w:val="off"/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N 2</w:t>
            </w:r>
            <w:r/>
          </w:p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общее количество исполненных участником закупки договоров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)</w:t>
            </w:r>
            <w:r/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/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eastAsia="Calibri" w:cs="Times New Roman"/>
                <w:color w:val="0070c0"/>
              </w:rPr>
            </w:pPr>
            <w:r/>
            <w:hyperlink w:tooltip="#P466" w:anchor="P466" w:history="1">
              <w:r>
                <w:rPr>
                  <w:rFonts w:ascii="Times New Roman" w:hAnsi="Times New Roman" w:eastAsia="Calibri" w:cs="Times New Roman"/>
                  <w:color w:val="0070c0"/>
                </w:rPr>
                <w:t xml:space="preserve">50</w:t>
              </w:r>
            </w:hyperlink>
            <w:r/>
            <w:r/>
          </w:p>
          <w:p>
            <w:pPr>
              <w:pStyle w:val="878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4395" w:type="dxa"/>
            <w:vMerge w:val="restart"/>
            <w:textDirection w:val="lrTb"/>
            <w:noWrap w:val="false"/>
          </w:tcPr>
          <w:p>
            <w:pPr>
              <w:jc w:val="both"/>
              <w:spacing w:after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Оценка заявок осуществляется по формуле, предусмотренной подпунктом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«Б»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ункта 20 Положения:</w:t>
            </w:r>
            <w:r/>
          </w:p>
          <w:p>
            <w:pPr>
              <w:jc w:val="both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 случае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если лучшим является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наибольшее значение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характеристики объекта закупки, - по формул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е:</w:t>
            </w:r>
            <w:r/>
          </w:p>
          <w:p>
            <w:pPr>
              <w:pStyle w:val="878"/>
            </w:pPr>
            <w:r/>
            <w:r/>
          </w:p>
          <w:p>
            <w:pPr>
              <w:pStyle w:val="878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924050" cy="371475"/>
                      <wp:effectExtent l="0" t="0" r="0" b="0"/>
                      <wp:docPr id="6" name="Рисунок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63817309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24046" cy="3714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51.5pt;height:29.2pt;mso-wrap-distance-left:0.0pt;mso-wrap-distance-top:0.0pt;mso-wrap-distance-right:0.0pt;mso-wrap-distance-bottom:0.0pt;" stroked="false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/>
          </w:p>
          <w:p>
            <w:pPr>
              <w:jc w:val="both"/>
              <w:spacing w:after="0" w:line="240" w:lineRule="auto"/>
            </w:pPr>
            <w:r/>
            <w:r/>
          </w:p>
          <w:p>
            <w:pPr>
              <w:jc w:val="both"/>
              <w:spacing w:after="0" w:line="240" w:lineRule="auto"/>
              <w:shd w:val="clear" w:color="auto" w:fill="ffffff" w:themeFill="background1"/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где:</w:t>
            </w:r>
            <w:r/>
          </w:p>
          <w:p>
            <w:pPr>
              <w:jc w:val="both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max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максимальное значение характеристики объекта закупки, содержащееся в заявках (частях заявок), подлежащих в соответствии с Федеральным законом оценке по критерию оценки;</w:t>
            </w:r>
            <w:r/>
          </w:p>
          <w:p>
            <w:pPr>
              <w:jc w:val="both"/>
              <w:spacing w:after="0" w:line="240" w:lineRule="auto"/>
            </w:pPr>
            <w:r/>
            <w:r/>
          </w:p>
          <w:p>
            <w:pPr>
              <w:jc w:val="both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i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значение характеристики объекта закупки, содержащееся в предложении участника закупки, заявка (часть заявки) которого подлежит в соответствии с Федеральным законом оценке по критерию оценки</w:t>
            </w:r>
            <w:r/>
          </w:p>
          <w:p>
            <w:pPr>
              <w:jc w:val="both"/>
              <w:spacing w:after="0" w:line="240" w:lineRule="auto"/>
            </w:pPr>
            <w:r/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ff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min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минимальное значение характеристики объекта закупки, сод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ержащееся в заявках (частях заявок), подлежащих в соответствии с Федеральным законом оценке по критерию оценки </w:t>
            </w:r>
            <w:r/>
          </w:p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</w:tbl>
    <w:p>
      <w:pPr>
        <w:pStyle w:val="87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pStyle w:val="8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III. Отдельные положения о применении отдельных критериев оценки, показателей оценки и показателей оценки, детализирующих показатели оценки, предусмотренных II разделом документа</w:t>
      </w:r>
      <w:r/>
    </w:p>
    <w:p>
      <w:pPr>
        <w:pStyle w:val="8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tbl>
      <w:tblPr>
        <w:tblW w:w="151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638"/>
        <w:gridCol w:w="4748"/>
        <w:gridCol w:w="9777"/>
      </w:tblGrid>
      <w:tr>
        <w:trPr/>
        <w:tc>
          <w:tcPr>
            <w:tcW w:w="638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</w:t>
            </w:r>
            <w:r/>
          </w:p>
        </w:tc>
        <w:tc>
          <w:tcPr>
            <w:tcW w:w="4748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критерия оценки, показателя оценки, показателя оценки, детали</w:t>
            </w:r>
            <w:r>
              <w:rPr>
                <w:rFonts w:ascii="Times New Roman" w:hAnsi="Times New Roman" w:cs="Times New Roman"/>
              </w:rPr>
              <w:t xml:space="preserve">зирующего показатель оценки, при применении которого устанавливается положение, предусмотренное </w:t>
            </w:r>
            <w:hyperlink w:tooltip="#P432" w:anchor="P432" w:history="1">
              <w:r>
                <w:rPr>
                  <w:rFonts w:ascii="Times New Roman" w:hAnsi="Times New Roman" w:cs="Times New Roman"/>
                </w:rPr>
                <w:t xml:space="preserve">графой 3</w:t>
              </w:r>
            </w:hyperlink>
            <w:r/>
            <w:r/>
          </w:p>
        </w:tc>
        <w:tc>
          <w:tcPr>
            <w:tcW w:w="9777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Положение о применения критерия оценки, показателя оценки, показателя оценки, детализирующего показатель оценки</w:t>
            </w:r>
            <w:r/>
          </w:p>
        </w:tc>
      </w:tr>
      <w:tr>
        <w:trPr>
          <w:trHeight w:val="2551"/>
        </w:trPr>
        <w:tc>
          <w:tcPr>
            <w:tcW w:w="638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1.</w:t>
            </w:r>
            <w:r/>
          </w:p>
        </w:tc>
        <w:tc>
          <w:tcPr>
            <w:tcW w:w="4748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  <w:t xml:space="preserve">Критерий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«Цена контракта, сумма цен единиц товара, работы, услуги»</w:t>
            </w:r>
            <w:r/>
          </w:p>
        </w:tc>
        <w:tc>
          <w:tcPr>
            <w:tcW w:w="9777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Подпункт «а» пункта 3 Положения (Постановление Правительства РФ от 31.12.2021 N 2604)</w:t>
            </w:r>
            <w:r/>
          </w:p>
          <w:p>
            <w:pPr>
              <w:contextualSpacing/>
              <w:jc w:val="both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Оценка заявок по критерию оценки "цена контракта, сумма цен единиц товара, работы, услуги" осуществляе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тся в соответствии со следующими требованиями:</w:t>
            </w:r>
            <w:r/>
          </w:p>
          <w:p>
            <w:pPr>
              <w:contextualSpacing/>
              <w:jc w:val="both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а) заявкам, содержащим наилучшее ценовое предложение, а также предложение, равное такому наилучшему ценовому предложению, присваивается 100 баллов.</w:t>
            </w:r>
            <w:r/>
          </w:p>
          <w:p>
            <w:pPr>
              <w:contextualSpacing/>
              <w:jc w:val="both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б) значение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 применении формулы, предусмотренной подпун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ктом "а" пункта 10 настоящего Положения, и значения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 применении формулы, предусмотренной подпунктом "б" пункта 10 настоящего Положения, указываются без знака "минус".</w:t>
            </w:r>
            <w:r/>
          </w:p>
          <w:p>
            <w:pPr>
              <w:contextualSpacing/>
              <w:jc w:val="both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в) применение показателей оценки по критерию оценки "цена контракта, сумма цен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единиц товара, работы, услуги" не допускается.</w:t>
            </w:r>
            <w:r/>
          </w:p>
        </w:tc>
      </w:tr>
      <w:tr>
        <w:trPr>
          <w:trHeight w:val="3046"/>
        </w:trPr>
        <w:tc>
          <w:tcPr>
            <w:tcW w:w="63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2.</w:t>
            </w:r>
            <w:r/>
          </w:p>
        </w:tc>
        <w:tc>
          <w:tcPr>
            <w:tcW w:w="4748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  <w:t xml:space="preserve">Критерий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«Квалификация участников закупки, в том числе наличие у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</w:t>
            </w:r>
            <w:r/>
          </w:p>
        </w:tc>
        <w:tc>
          <w:tcPr>
            <w:tcW w:w="9777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Подпункт «г» пункта 3 Положения (Постановление Правительства РФ от 31.12.2021 N 2604)</w:t>
            </w:r>
            <w:r/>
          </w:p>
          <w:p>
            <w:pPr>
              <w:contextualSpacing/>
              <w:jc w:val="both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Для критерия оценки «Квалификация участников закупки» применяются показатели оценки. В отношении каждого показателя оценки устанавливается значимость показателя оценки.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Сумма величин значимости всех применяемых показателей оценки по критерию оценки составляет 100 процентов.</w:t>
            </w:r>
            <w:r/>
          </w:p>
          <w:p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Оценка заявки (части заявки)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 критерию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оценки определяется путем суммирования среднего количества баллов, присвоенных всеми принимавшими участие в 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рассмотрении и оценке членами комиссии по осуществлению закупок по каждому показателю оценки, умноженного на значимость соответствующего показателя оценки. При этом среднее количество баллов определяется путем суммирования количества баллов, присвоенных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каждым членом комиссии по осуществлению закупок, и последующего деления на количество таких членов.</w:t>
            </w:r>
            <w:r/>
          </w:p>
          <w:p>
            <w:pPr>
              <w:contextualSpacing/>
              <w:jc w:val="both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Для оценки критерия применяется показатель:</w:t>
            </w:r>
            <w:r/>
          </w:p>
          <w:p>
            <w:pPr>
              <w:numPr>
                <w:ilvl w:val="0"/>
                <w:numId w:val="2"/>
              </w:numPr>
              <w:contextualSpacing/>
              <w:ind w:left="373"/>
              <w:jc w:val="both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 у участников закупки опыта работы, связанного с предметом контракта;</w:t>
            </w:r>
            <w:r/>
          </w:p>
        </w:tc>
      </w:tr>
      <w:tr>
        <w:trPr>
          <w:trHeight w:val="3613"/>
        </w:trPr>
        <w:tc>
          <w:tcPr>
            <w:tcW w:w="63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2.1</w:t>
            </w:r>
            <w:r/>
          </w:p>
        </w:tc>
        <w:tc>
          <w:tcPr>
            <w:tcW w:w="4748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 xml:space="preserve">Показатель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«Наличие у участников закупки опыта работы, связанного с предметом контракта»</w:t>
            </w:r>
            <w:r/>
          </w:p>
        </w:tc>
        <w:tc>
          <w:tcPr>
            <w:tcW w:w="9777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Подпункт 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пункта 24 Положения (Постановление Правительства РФ от 31.12.2021 N 2604)</w:t>
            </w:r>
            <w:r/>
          </w:p>
          <w:p>
            <w:pPr>
              <w:contextualSpacing/>
              <w:jc w:val="both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Оценка заявки (части заявки)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 показателю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оценки определяется путем суммирования среднего количества баллов, присвоенных всеми принимавшими участие в ее рассмотрении и оценке членами комиссии по осуществлению закупок по каждому детализирующему показателю, умноженного на значимость соответствующег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детализирующего показателя. При этом среднее количество баллов определяется путем суммирования количества баллов, присвоенных каждым членом комиссии по осуществлению закупок, и последующего деления на количество таких членов.</w:t>
            </w:r>
            <w:r/>
          </w:p>
          <w:p>
            <w:pPr>
              <w:contextualSpacing/>
              <w:jc w:val="both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Для показателя оценки по кри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терию оценки «Наличие у участников закупки опыта работы, связанного с предметом контракта» применяются детализирующие показатели.</w:t>
            </w:r>
            <w:r/>
          </w:p>
          <w:p>
            <w:pPr>
              <w:contextualSpacing/>
              <w:jc w:val="both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отношении каждого детализирующего показателя устанавливается значимость детализирующего показателя. Сумма величин значимости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всех применяемых детализирующих показателей по показателю оценки составляет 100 процентов.</w:t>
            </w:r>
            <w:r/>
          </w:p>
          <w:p>
            <w:pPr>
              <w:contextualSpacing/>
              <w:jc w:val="both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Оценка заявок по детализирующим показателям, осуществляется в порядке, установленном пунктами 20 и 21 настоящего Положения,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применение шкалы оценки не допускается.</w:t>
            </w:r>
            <w:r/>
          </w:p>
        </w:tc>
      </w:tr>
    </w:tbl>
    <w:p>
      <w:pPr>
        <w:pStyle w:val="8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tbl>
      <w:tblPr>
        <w:tblW w:w="1516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638"/>
        <w:gridCol w:w="4748"/>
        <w:gridCol w:w="9777"/>
      </w:tblGrid>
      <w:tr>
        <w:trPr>
          <w:trHeight w:val="1730"/>
        </w:trPr>
        <w:tc>
          <w:tcPr>
            <w:tcW w:w="638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2.1.1</w:t>
            </w:r>
            <w:r/>
          </w:p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87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474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20"/>
                <w:szCs w:val="20"/>
                <w:lang w:eastAsia="ru-RU"/>
              </w:rPr>
              <w:t xml:space="preserve">Детализирующий показатель:</w:t>
            </w:r>
            <w:r/>
          </w:p>
          <w:p>
            <w:pPr>
              <w:pStyle w:val="878"/>
              <w:jc w:val="both"/>
              <w:rPr>
                <w:rFonts w:ascii="Times New Roman" w:hAnsi="Times New Roman" w:cs="Times New Roman"/>
              </w:rPr>
            </w:pPr>
            <w:r>
              <w:t xml:space="preserve">№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1 </w:t>
            </w:r>
            <w:r>
              <w:t xml:space="preserve">«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Наибольшая цена одного из исполненных участником закупки договоров</w:t>
            </w:r>
            <w:r>
              <w:rPr>
                <w:rFonts w:ascii="Times New Roman" w:hAnsi="Times New Roman" w:cs="Times New Roman"/>
              </w:rPr>
              <w:t xml:space="preserve">»</w:t>
            </w:r>
            <w:r/>
          </w:p>
          <w:p>
            <w:pPr>
              <w:pStyle w:val="87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87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87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№2 «О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бщее количество исполненных участником закупки договоров»</w:t>
            </w:r>
            <w:r/>
          </w:p>
        </w:tc>
        <w:tc>
          <w:tcPr>
            <w:tcW w:w="9777" w:type="dxa"/>
            <w:textDirection w:val="lrTb"/>
            <w:noWrap w:val="false"/>
          </w:tcPr>
          <w:p>
            <w:pPr>
              <w:jc w:val="both"/>
              <w:spacing w:after="0" w:line="240" w:lineRule="auto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 оценке принимается исключительно исполненного договора (договоров), предусматривающего выполнение работ на одном из следующих объектов, соответствующих объекту закупки:</w:t>
            </w:r>
            <w:r/>
          </w:p>
          <w:p>
            <w:pPr>
              <w:jc w:val="both"/>
              <w:spacing w:after="0" w:line="240" w:lineRule="auto"/>
              <w:rPr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объект капитального строительства (за исключением линейного объекта);</w:t>
            </w:r>
            <w:r/>
          </w:p>
          <w:p>
            <w:pPr>
              <w:jc w:val="both"/>
              <w:spacing w:after="0" w:line="240" w:lineRule="auto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 оценке приним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ается исключительно исполненный договор (договоры), относящиеся к одному или нескольким из следующих договоров (контрактов):</w:t>
            </w:r>
            <w:r/>
          </w:p>
          <w:p>
            <w:pPr>
              <w:jc w:val="both"/>
              <w:spacing w:after="0" w:line="240" w:lineRule="auto"/>
              <w:rPr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контракт, предусмотренный частью 16 статьи 34 Федерального закона (при условии, что контракт жизненного цикла предусматривает проек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тирование, строительство, реконструкцию, капитальный ремонт объекта капитального строительства);</w:t>
            </w:r>
            <w:r/>
          </w:p>
          <w:p>
            <w:pPr>
              <w:jc w:val="both"/>
              <w:spacing w:after="0" w:line="240" w:lineRule="auto"/>
              <w:rPr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контракт, предусмотренный частью 16.1 статьи 34 Федерального закона;</w:t>
            </w:r>
            <w:r/>
          </w:p>
          <w:p>
            <w:pPr>
              <w:jc w:val="both"/>
              <w:spacing w:after="0" w:line="240" w:lineRule="auto"/>
              <w:rPr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контракт, предусмотренный частью 56 статьи 112 Федерального закона;</w:t>
            </w:r>
            <w:r/>
          </w:p>
          <w:p>
            <w:pPr>
              <w:jc w:val="both"/>
              <w:spacing w:after="0" w:line="240" w:lineRule="auto"/>
              <w:rPr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договор, не относящийся к контрактам, указанным в абзацах втором - четвертом настоящего подпункта, и предусматривающий выполнение работ по строительству, реконструкции, капитальному ремонту, сносу объекта капитального строительства (в том числе линейного о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бъекта), проведение работ по сохранению объектов культурного наследия (памятников истории и культуры) народов Российской Федерации;</w:t>
            </w:r>
            <w:r/>
          </w:p>
          <w:p>
            <w:pPr>
              <w:jc w:val="both"/>
              <w:spacing w:after="0" w:line="240" w:lineRule="auto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 оценке принимаются документы, в том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числе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если к ним не приложена проектная документация (если проектная документация явля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ется приложением к таким документам).</w:t>
            </w:r>
            <w:r/>
          </w:p>
          <w:p>
            <w:pPr>
              <w:jc w:val="both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 оценке принимается исключительно исполненный договор (договоры), при исполнении которого подрядчиком исполнены требования об уплате неустоек (штрафов, пеней) (в случае начисления неустоек).</w:t>
            </w:r>
            <w:r/>
          </w:p>
          <w:p>
            <w:pPr>
              <w:jc w:val="both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 оценке принимаются испол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от 05.04.2013 N 44-ФЗ «О контрактной системе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сфере закупок товаров, работ, услуг для обеспечения государственных и муниципальных нужд».</w:t>
            </w:r>
            <w:r/>
          </w:p>
          <w:p>
            <w:pPr>
              <w:jc w:val="both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Подтверждается документами, предусмотренными </w:t>
            </w:r>
            <w:hyperlink r:id="rId16" w:tooltip="consultantplus://offline/ref=1C3E63C1D91D37286BE6D29EB771FBCE8D0F0A9C9EA79E4D4ACEB8560F4EDD3AC1B5448C58B89FCAB30E80640949272F9EA196296CFCF54BP21EH" w:history="1">
              <w:r>
                <w:rPr>
                  <w:rStyle w:val="886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абзацем третьим подпункта "в" пункта 28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Положения об оценке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аявок на участие в закупке товаров, работ, услуг  для обеспечения государственных и муниципальных нужд, утвержденного  постановлением Правительства Российской Федерации от 31 декабря 2021 г. № 2604 – исполненным договором (договорами), актом (актами) прием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ки выполненных работ, составленным при исполнении такого договора (договоров).</w:t>
            </w:r>
            <w:r/>
          </w:p>
          <w:p>
            <w:pPr>
              <w:jc w:val="both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Последний акт, составленный при исполнении договора, должен быть подписан не ранее чем за 5 лет до даты окончания срока подачи заявок.</w:t>
            </w:r>
            <w:r/>
          </w:p>
          <w:p>
            <w:pPr>
              <w:jc w:val="both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 оценке принимаются исполненные участнико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highlight w:val="red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Документы направляются в форме электронных документов или в фор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 электронных образов бумажных документов.</w:t>
            </w:r>
            <w:r/>
          </w:p>
        </w:tc>
      </w:tr>
    </w:tbl>
    <w:p>
      <w:pPr>
        <w:pStyle w:val="878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/>
    </w:p>
    <w:sectPr>
      <w:headerReference w:type="default" r:id="rId9"/>
      <w:footnotePr/>
      <w:endnotePr/>
      <w:type w:val="nextPage"/>
      <w:pgSz w:w="16838" w:h="11905" w:orient="landscape"/>
      <w:pgMar w:top="567" w:right="680" w:bottom="567" w:left="1134" w:header="284" w:footer="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Andale Sans UI">
    <w:panose1 w:val="05050102010205020202"/>
  </w:font>
  <w:font w:name="Segoe UI">
    <w:panose1 w:val="020B0502040204020203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737129064"/>
      <w:docPartObj>
        <w:docPartGallery w:val="Page Numbers (Top of Page)"/>
        <w:docPartUnique w:val="true"/>
      </w:docPartObj>
      <w:rPr/>
    </w:sdtPr>
    <w:sdtContent>
      <w:p>
        <w:pPr>
          <w:pStyle w:val="73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8</w:t>
        </w:r>
        <w:r>
          <w:fldChar w:fldCharType="end"/>
        </w:r>
        <w:r/>
      </w:p>
    </w:sdtContent>
  </w:sdt>
  <w:p>
    <w:pPr>
      <w:pStyle w:val="73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2" w:default="1">
    <w:name w:val="Normal"/>
    <w:qFormat/>
  </w:style>
  <w:style w:type="paragraph" w:styleId="663">
    <w:name w:val="Heading 1"/>
    <w:basedOn w:val="662"/>
    <w:next w:val="662"/>
    <w:link w:val="71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64">
    <w:name w:val="Heading 2"/>
    <w:basedOn w:val="662"/>
    <w:next w:val="662"/>
    <w:link w:val="71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5">
    <w:name w:val="Heading 3"/>
    <w:basedOn w:val="662"/>
    <w:next w:val="662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6">
    <w:name w:val="Heading 4"/>
    <w:basedOn w:val="662"/>
    <w:next w:val="662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662"/>
    <w:next w:val="662"/>
    <w:link w:val="71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662"/>
    <w:next w:val="662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69">
    <w:name w:val="Heading 7"/>
    <w:basedOn w:val="662"/>
    <w:next w:val="662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70">
    <w:name w:val="Heading 8"/>
    <w:basedOn w:val="662"/>
    <w:next w:val="662"/>
    <w:link w:val="71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71">
    <w:name w:val="Heading 9"/>
    <w:basedOn w:val="662"/>
    <w:next w:val="662"/>
    <w:link w:val="71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 w:default="1">
    <w:name w:val="Default Paragraph Font"/>
    <w:uiPriority w:val="1"/>
    <w:semiHidden/>
    <w:unhideWhenUsed/>
  </w:style>
  <w:style w:type="table" w:styleId="67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4" w:default="1">
    <w:name w:val="No List"/>
    <w:uiPriority w:val="99"/>
    <w:semiHidden/>
    <w:unhideWhenUsed/>
  </w:style>
  <w:style w:type="table" w:styleId="675" w:customStyle="1">
    <w:name w:val="Plain Table 1"/>
    <w:basedOn w:val="67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6" w:customStyle="1">
    <w:name w:val="Plain Table 2"/>
    <w:basedOn w:val="67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 w:customStyle="1">
    <w:name w:val="Plain Table 3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8" w:customStyle="1">
    <w:name w:val="Plain Table 4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 w:customStyle="1">
    <w:name w:val="Plain Table 5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0" w:customStyle="1">
    <w:name w:val="Grid Table 1 Light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 w:customStyle="1">
    <w:name w:val="Grid Table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 w:customStyle="1">
    <w:name w:val="Grid Table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 w:customStyle="1">
    <w:name w:val="Grid Table 4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4" w:customStyle="1">
    <w:name w:val="Grid Table 5 Dark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bfbfbf" w:themeFill="text1" w:themeFillTint="40"/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themeColor="light1" w:sz="4" w:space="0"/>
        </w:tcBorders>
      </w:tcPr>
    </w:tblStylePr>
  </w:style>
  <w:style w:type="table" w:styleId="685" w:customStyle="1">
    <w:name w:val="Grid Table 6 Colorful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686" w:customStyle="1">
    <w:name w:val="Grid Table 7 Colorful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 w:customStyle="1">
    <w:name w:val="List Table 1 Light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 w:customStyle="1">
    <w:name w:val="List Table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689" w:customStyle="1">
    <w:name w:val="List Table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 w:customStyle="1">
    <w:name w:val="List Table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 w:customStyle="1">
    <w:name w:val="List Table 5 Dark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auto" w:fill="7f7f7f" w:themeFill="text1" w:themeFillTint="80"/>
    </w:tblPr>
    <w:tblStylePr w:type="band1Horz">
      <w:tcPr>
        <w:shd w:val="clear" w:color="auto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92" w:customStyle="1">
    <w:name w:val="List Table 6 Colorful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693" w:customStyle="1">
    <w:name w:val="List Table 7 Colorful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694" w:customStyle="1">
    <w:name w:val="Heading 1 Char"/>
    <w:basedOn w:val="672"/>
    <w:uiPriority w:val="9"/>
    <w:rPr>
      <w:rFonts w:ascii="Arial" w:hAnsi="Arial" w:eastAsia="Arial" w:cs="Arial"/>
      <w:sz w:val="40"/>
      <w:szCs w:val="40"/>
    </w:rPr>
  </w:style>
  <w:style w:type="character" w:styleId="695" w:customStyle="1">
    <w:name w:val="Heading 2 Char"/>
    <w:basedOn w:val="672"/>
    <w:uiPriority w:val="9"/>
    <w:rPr>
      <w:rFonts w:ascii="Arial" w:hAnsi="Arial" w:eastAsia="Arial" w:cs="Arial"/>
      <w:sz w:val="34"/>
    </w:rPr>
  </w:style>
  <w:style w:type="character" w:styleId="696" w:customStyle="1">
    <w:name w:val="Heading 3 Char"/>
    <w:basedOn w:val="672"/>
    <w:uiPriority w:val="9"/>
    <w:rPr>
      <w:rFonts w:ascii="Arial" w:hAnsi="Arial" w:eastAsia="Arial" w:cs="Arial"/>
      <w:sz w:val="30"/>
      <w:szCs w:val="30"/>
    </w:rPr>
  </w:style>
  <w:style w:type="character" w:styleId="697" w:customStyle="1">
    <w:name w:val="Heading 4 Char"/>
    <w:basedOn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98" w:customStyle="1">
    <w:name w:val="Heading 5 Char"/>
    <w:basedOn w:val="672"/>
    <w:uiPriority w:val="9"/>
    <w:rPr>
      <w:rFonts w:ascii="Arial" w:hAnsi="Arial" w:eastAsia="Arial" w:cs="Arial"/>
      <w:b/>
      <w:bCs/>
      <w:sz w:val="24"/>
      <w:szCs w:val="24"/>
    </w:rPr>
  </w:style>
  <w:style w:type="character" w:styleId="699" w:customStyle="1">
    <w:name w:val="Heading 6 Char"/>
    <w:basedOn w:val="672"/>
    <w:uiPriority w:val="9"/>
    <w:rPr>
      <w:rFonts w:ascii="Arial" w:hAnsi="Arial" w:eastAsia="Arial" w:cs="Arial"/>
      <w:b/>
      <w:bCs/>
      <w:sz w:val="22"/>
      <w:szCs w:val="22"/>
    </w:rPr>
  </w:style>
  <w:style w:type="character" w:styleId="700" w:customStyle="1">
    <w:name w:val="Heading 7 Char"/>
    <w:basedOn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1" w:customStyle="1">
    <w:name w:val="Heading 8 Char"/>
    <w:basedOn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702" w:customStyle="1">
    <w:name w:val="Heading 9 Char"/>
    <w:basedOn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703" w:customStyle="1">
    <w:name w:val="Title Char"/>
    <w:basedOn w:val="672"/>
    <w:uiPriority w:val="10"/>
    <w:rPr>
      <w:sz w:val="48"/>
      <w:szCs w:val="48"/>
    </w:rPr>
  </w:style>
  <w:style w:type="character" w:styleId="704" w:customStyle="1">
    <w:name w:val="Subtitle Char"/>
    <w:basedOn w:val="672"/>
    <w:uiPriority w:val="11"/>
    <w:rPr>
      <w:sz w:val="24"/>
      <w:szCs w:val="24"/>
    </w:rPr>
  </w:style>
  <w:style w:type="character" w:styleId="705" w:customStyle="1">
    <w:name w:val="Quote Char"/>
    <w:uiPriority w:val="29"/>
    <w:rPr>
      <w:i/>
    </w:rPr>
  </w:style>
  <w:style w:type="character" w:styleId="706" w:customStyle="1">
    <w:name w:val="Intense Quote Char"/>
    <w:uiPriority w:val="30"/>
    <w:rPr>
      <w:i/>
    </w:rPr>
  </w:style>
  <w:style w:type="character" w:styleId="707" w:customStyle="1">
    <w:name w:val="Header Char"/>
    <w:basedOn w:val="672"/>
    <w:uiPriority w:val="99"/>
  </w:style>
  <w:style w:type="character" w:styleId="708" w:customStyle="1">
    <w:name w:val="Caption Char"/>
    <w:uiPriority w:val="99"/>
  </w:style>
  <w:style w:type="character" w:styleId="709" w:customStyle="1">
    <w:name w:val="Footnote Text Char"/>
    <w:uiPriority w:val="99"/>
    <w:rPr>
      <w:sz w:val="18"/>
    </w:rPr>
  </w:style>
  <w:style w:type="character" w:styleId="710" w:customStyle="1">
    <w:name w:val="Endnote Text Char"/>
    <w:uiPriority w:val="99"/>
    <w:rPr>
      <w:sz w:val="20"/>
    </w:rPr>
  </w:style>
  <w:style w:type="character" w:styleId="711" w:customStyle="1">
    <w:name w:val="Заголовок 1 Знак"/>
    <w:basedOn w:val="672"/>
    <w:link w:val="663"/>
    <w:uiPriority w:val="9"/>
    <w:rPr>
      <w:rFonts w:ascii="Arial" w:hAnsi="Arial" w:eastAsia="Arial" w:cs="Arial"/>
      <w:sz w:val="40"/>
      <w:szCs w:val="40"/>
    </w:rPr>
  </w:style>
  <w:style w:type="character" w:styleId="712" w:customStyle="1">
    <w:name w:val="Заголовок 2 Знак"/>
    <w:basedOn w:val="672"/>
    <w:link w:val="664"/>
    <w:uiPriority w:val="9"/>
    <w:rPr>
      <w:rFonts w:ascii="Arial" w:hAnsi="Arial" w:eastAsia="Arial" w:cs="Arial"/>
      <w:sz w:val="34"/>
    </w:rPr>
  </w:style>
  <w:style w:type="character" w:styleId="713" w:customStyle="1">
    <w:name w:val="Заголовок 3 Знак"/>
    <w:basedOn w:val="672"/>
    <w:link w:val="665"/>
    <w:uiPriority w:val="9"/>
    <w:rPr>
      <w:rFonts w:ascii="Arial" w:hAnsi="Arial" w:eastAsia="Arial" w:cs="Arial"/>
      <w:sz w:val="30"/>
      <w:szCs w:val="30"/>
    </w:rPr>
  </w:style>
  <w:style w:type="character" w:styleId="714" w:customStyle="1">
    <w:name w:val="Заголовок 4 Знак"/>
    <w:basedOn w:val="672"/>
    <w:link w:val="666"/>
    <w:uiPriority w:val="9"/>
    <w:rPr>
      <w:rFonts w:ascii="Arial" w:hAnsi="Arial" w:eastAsia="Arial" w:cs="Arial"/>
      <w:b/>
      <w:bCs/>
      <w:sz w:val="26"/>
      <w:szCs w:val="26"/>
    </w:rPr>
  </w:style>
  <w:style w:type="character" w:styleId="715" w:customStyle="1">
    <w:name w:val="Заголовок 5 Знак"/>
    <w:basedOn w:val="672"/>
    <w:link w:val="667"/>
    <w:uiPriority w:val="9"/>
    <w:rPr>
      <w:rFonts w:ascii="Arial" w:hAnsi="Arial" w:eastAsia="Arial" w:cs="Arial"/>
      <w:b/>
      <w:bCs/>
      <w:sz w:val="24"/>
      <w:szCs w:val="24"/>
    </w:rPr>
  </w:style>
  <w:style w:type="character" w:styleId="716" w:customStyle="1">
    <w:name w:val="Заголовок 6 Знак"/>
    <w:basedOn w:val="672"/>
    <w:link w:val="668"/>
    <w:uiPriority w:val="9"/>
    <w:rPr>
      <w:rFonts w:ascii="Arial" w:hAnsi="Arial" w:eastAsia="Arial" w:cs="Arial"/>
      <w:b/>
      <w:bCs/>
      <w:sz w:val="22"/>
      <w:szCs w:val="22"/>
    </w:rPr>
  </w:style>
  <w:style w:type="character" w:styleId="717" w:customStyle="1">
    <w:name w:val="Заголовок 7 Знак"/>
    <w:basedOn w:val="672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8" w:customStyle="1">
    <w:name w:val="Заголовок 8 Знак"/>
    <w:basedOn w:val="672"/>
    <w:link w:val="670"/>
    <w:uiPriority w:val="9"/>
    <w:rPr>
      <w:rFonts w:ascii="Arial" w:hAnsi="Arial" w:eastAsia="Arial" w:cs="Arial"/>
      <w:i/>
      <w:iCs/>
      <w:sz w:val="22"/>
      <w:szCs w:val="22"/>
    </w:rPr>
  </w:style>
  <w:style w:type="character" w:styleId="719" w:customStyle="1">
    <w:name w:val="Заголовок 9 Знак"/>
    <w:basedOn w:val="672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720">
    <w:name w:val="List Paragraph"/>
    <w:basedOn w:val="662"/>
    <w:uiPriority w:val="34"/>
    <w:qFormat/>
    <w:pPr>
      <w:contextualSpacing/>
      <w:ind w:left="720"/>
    </w:pPr>
  </w:style>
  <w:style w:type="paragraph" w:styleId="721">
    <w:name w:val="No Spacing"/>
    <w:uiPriority w:val="1"/>
    <w:qFormat/>
    <w:pPr>
      <w:spacing w:after="0" w:line="240" w:lineRule="auto"/>
    </w:pPr>
  </w:style>
  <w:style w:type="paragraph" w:styleId="722">
    <w:name w:val="Title"/>
    <w:basedOn w:val="662"/>
    <w:next w:val="662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 w:customStyle="1">
    <w:name w:val="Название Знак"/>
    <w:basedOn w:val="672"/>
    <w:link w:val="722"/>
    <w:uiPriority w:val="10"/>
    <w:rPr>
      <w:sz w:val="48"/>
      <w:szCs w:val="48"/>
    </w:rPr>
  </w:style>
  <w:style w:type="paragraph" w:styleId="724">
    <w:name w:val="Subtitle"/>
    <w:basedOn w:val="662"/>
    <w:next w:val="662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 w:customStyle="1">
    <w:name w:val="Подзаголовок Знак"/>
    <w:basedOn w:val="672"/>
    <w:link w:val="724"/>
    <w:uiPriority w:val="11"/>
    <w:rPr>
      <w:sz w:val="24"/>
      <w:szCs w:val="24"/>
    </w:rPr>
  </w:style>
  <w:style w:type="paragraph" w:styleId="726">
    <w:name w:val="Quote"/>
    <w:basedOn w:val="662"/>
    <w:next w:val="662"/>
    <w:link w:val="727"/>
    <w:uiPriority w:val="29"/>
    <w:qFormat/>
    <w:pPr>
      <w:ind w:left="720" w:right="720"/>
    </w:pPr>
    <w:rPr>
      <w:i/>
    </w:rPr>
  </w:style>
  <w:style w:type="character" w:styleId="727" w:customStyle="1">
    <w:name w:val="Цитата 2 Знак"/>
    <w:link w:val="726"/>
    <w:uiPriority w:val="29"/>
    <w:rPr>
      <w:i/>
    </w:rPr>
  </w:style>
  <w:style w:type="paragraph" w:styleId="728">
    <w:name w:val="Intense Quote"/>
    <w:basedOn w:val="662"/>
    <w:next w:val="662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</w:rPr>
  </w:style>
  <w:style w:type="paragraph" w:styleId="730">
    <w:name w:val="Header"/>
    <w:basedOn w:val="662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1" w:customStyle="1">
    <w:name w:val="Верхний колонтитул Знак"/>
    <w:basedOn w:val="672"/>
    <w:link w:val="730"/>
    <w:uiPriority w:val="99"/>
  </w:style>
  <w:style w:type="paragraph" w:styleId="732">
    <w:name w:val="Footer"/>
    <w:basedOn w:val="662"/>
    <w:link w:val="73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3" w:customStyle="1">
    <w:name w:val="Footer Char"/>
    <w:basedOn w:val="672"/>
    <w:uiPriority w:val="99"/>
  </w:style>
  <w:style w:type="paragraph" w:styleId="734">
    <w:name w:val="Caption"/>
    <w:basedOn w:val="662"/>
    <w:next w:val="662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35" w:customStyle="1">
    <w:name w:val="Нижний колонтитул Знак"/>
    <w:link w:val="732"/>
    <w:uiPriority w:val="99"/>
  </w:style>
  <w:style w:type="table" w:styleId="736" w:customStyle="1">
    <w:name w:val="Table Grid Light"/>
    <w:basedOn w:val="67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7" w:customStyle="1">
    <w:name w:val="Таблица простая 11"/>
    <w:basedOn w:val="67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 w:customStyle="1">
    <w:name w:val="Таблица простая 21"/>
    <w:basedOn w:val="67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 w:customStyle="1">
    <w:name w:val="Таблица простая 31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0" w:customStyle="1">
    <w:name w:val="Таблица простая 41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Таблица простая 51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2" w:customStyle="1">
    <w:name w:val="Таблица-сетка 1 светлая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Таблица-сетка 2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Таблица-сетка 3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Таблица-сетка 41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4" w:customStyle="1">
    <w:name w:val="Grid Table 4 - Accent 1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65" w:customStyle="1">
    <w:name w:val="Grid Table 4 - Accent 2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66" w:customStyle="1">
    <w:name w:val="Grid Table 4 - Accent 3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67" w:customStyle="1">
    <w:name w:val="Grid Table 4 - Accent 4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68" w:customStyle="1">
    <w:name w:val="Grid Table 4 - Accent 5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69" w:customStyle="1">
    <w:name w:val="Grid Table 4 - Accent 6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70" w:customStyle="1">
    <w:name w:val="Таблица-сетка 5 темная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bfbfbf" w:themeFill="text1" w:themeFillTint="40"/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ddeaf6" w:themeFill="accent1" w:themeFillTint="34"/>
    </w:tblPr>
    <w:tblStylePr w:type="band1Horz">
      <w:tcPr>
        <w:shd w:val="clear" w:color="auto" w:fill="b3d0eb" w:themeFill="accent1" w:themeFillTint="75"/>
      </w:tcPr>
    </w:tblStylePr>
    <w:tblStylePr w:type="band1Vert">
      <w:tcPr>
        <w:shd w:val="clear" w:color="auto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5b9bd5" w:themeFill="accent1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fbe5d6" w:themeFill="accent2" w:themeFillTint="32"/>
    </w:tblPr>
    <w:tblStylePr w:type="band1Horz">
      <w:tcPr>
        <w:shd w:val="clear" w:color="auto" w:fill="f6c3a0" w:themeFill="accent2" w:themeFillTint="75"/>
      </w:tcPr>
    </w:tblStylePr>
    <w:tblStylePr w:type="band1Vert">
      <w:tcPr>
        <w:shd w:val="clear" w:color="auto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ed7d31" w:themeFill="accent2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ececec" w:themeFill="accent3" w:themeFillTint="34"/>
    </w:tblPr>
    <w:tblStylePr w:type="band1Horz">
      <w:tcPr>
        <w:shd w:val="clear" w:color="auto" w:fill="d5d5d5" w:themeFill="accent3" w:themeFillTint="75"/>
      </w:tcPr>
    </w:tblStylePr>
    <w:tblStylePr w:type="band1Vert">
      <w:tcPr>
        <w:shd w:val="clear" w:color="auto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a5a5a5" w:themeFill="accent3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fff2cb" w:themeFill="accent4" w:themeFillTint="34"/>
    </w:tblPr>
    <w:tblStylePr w:type="band1Horz">
      <w:tcPr>
        <w:shd w:val="clear" w:color="auto" w:fill="ffe28a" w:themeFill="accent4" w:themeFillTint="75"/>
      </w:tcPr>
    </w:tblStylePr>
    <w:tblStylePr w:type="band1Vert">
      <w:tcPr>
        <w:shd w:val="clear" w:color="auto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c000" w:themeFill="accent4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d8e2f3" w:themeFill="accent5" w:themeFillTint="34"/>
    </w:tblPr>
    <w:tblStylePr w:type="band1Horz">
      <w:tcPr>
        <w:shd w:val="clear" w:color="auto" w:fill="a9bee4" w:themeFill="accent5" w:themeFillTint="75"/>
      </w:tcPr>
    </w:tblStylePr>
    <w:tblStylePr w:type="band1Vert">
      <w:tcPr>
        <w:shd w:val="clear" w:color="auto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472c4" w:themeFill="accent5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e1efd8" w:themeFill="accent6" w:themeFillTint="34"/>
    </w:tblPr>
    <w:tblStylePr w:type="band1Horz">
      <w:tcPr>
        <w:shd w:val="clear" w:color="auto" w:fill="bcdba8" w:themeFill="accent6" w:themeFillTint="75"/>
      </w:tcPr>
    </w:tblStylePr>
    <w:tblStylePr w:type="band1Vert">
      <w:tcPr>
        <w:shd w:val="clear" w:color="auto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70ad47" w:themeFill="accent6"/>
        <w:tcBorders>
          <w:top w:val="single" w:color="FFFFFF" w:themeColor="light1" w:sz="4" w:space="0"/>
        </w:tcBorders>
      </w:tcPr>
    </w:tblStylePr>
  </w:style>
  <w:style w:type="table" w:styleId="777" w:customStyle="1">
    <w:name w:val="Таблица-сетка 6 цветная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8" w:customStyle="1">
    <w:name w:val="Grid Table 6 Colorful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auto" w:fill="ddeaf6" w:themeFill="accent1" w:themeFillTint="34"/>
      </w:tcPr>
    </w:tblStylePr>
    <w:tblStylePr w:type="band1Vert"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79" w:customStyle="1">
    <w:name w:val="Grid Table 6 Colorful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auto" w:fill="fbe5d6" w:themeFill="accent2" w:themeFillTint="32"/>
      </w:tcPr>
    </w:tblStylePr>
    <w:tblStylePr w:type="band1Vert"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80" w:customStyle="1">
    <w:name w:val="Grid Table 6 Colorful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auto" w:fill="ececec" w:themeFill="accent3" w:themeFillTint="34"/>
      </w:tcPr>
    </w:tblStylePr>
    <w:tblStylePr w:type="band1Vert"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81" w:customStyle="1">
    <w:name w:val="Grid Table 6 Colorful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auto" w:fill="fff2cb" w:themeFill="accent4" w:themeFillTint="34"/>
      </w:tcPr>
    </w:tblStylePr>
    <w:tblStylePr w:type="band1Vert"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82" w:customStyle="1">
    <w:name w:val="Grid Table 6 Colorful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auto" w:fill="d8e2f3" w:themeFill="accent5" w:themeFillTint="34"/>
      </w:tcPr>
    </w:tblStylePr>
    <w:tblStylePr w:type="band1Vert"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83" w:customStyle="1">
    <w:name w:val="Grid Table 6 Colorful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auto" w:fill="e1efd8" w:themeFill="accent6" w:themeFillTint="34"/>
      </w:tcPr>
    </w:tblStylePr>
    <w:tblStylePr w:type="band1Vert"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84" w:customStyle="1">
    <w:name w:val="Таблица-сетка 7 цветная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5" w:customStyle="1">
    <w:name w:val="Grid Table 7 Colorful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auto" w:fill="ddeaf6" w:themeFill="accent1" w:themeFillTint="34"/>
      </w:tcPr>
    </w:tblStylePr>
    <w:tblStylePr w:type="band1Vert"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auto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auto" w:fill="ffffff" w:themeFill="light1"/>
        <w:tcBorders>
          <w:top w:val="none" w:color="auto" w:sz="0" w:space="0"/>
          <w:left w:val="none" w:color="auto" w:sz="0" w:space="0"/>
          <w:bottom w:val="single" w:color="ACCCEA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auto" w:fill="auto"/>
        <w:tcBorders>
          <w:top w:val="none" w:color="auto" w:sz="0" w:space="0"/>
          <w:left w:val="single" w:color="ACCCEA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auto" w:fill="ffffff" w:themeFill="light1"/>
        <w:tcBorders>
          <w:top w:val="single" w:color="ACCCEA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6" w:customStyle="1">
    <w:name w:val="Grid Table 7 Colorful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auto" w:fill="fbe5d6" w:themeFill="accent2" w:themeFillTint="32"/>
      </w:tcPr>
    </w:tblStylePr>
    <w:tblStylePr w:type="band1Vert"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auto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auto" w:fill="ffffff" w:themeFill="light1"/>
        <w:tcBorders>
          <w:top w:val="none" w:color="auto" w:sz="0" w:space="0"/>
          <w:left w:val="none" w:color="auto" w:sz="0" w:space="0"/>
          <w:bottom w:val="single" w:color="F4B184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auto" w:fill="auto"/>
        <w:tcBorders>
          <w:top w:val="none" w:color="auto" w:sz="0" w:space="0"/>
          <w:left w:val="single" w:color="F4B184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auto" w:fill="ffffff" w:themeFill="light1"/>
        <w:tcBorders>
          <w:top w:val="single" w:color="F4B184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7" w:customStyle="1">
    <w:name w:val="Grid Table 7 Colorful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auto" w:fill="ececec" w:themeFill="accent3" w:themeFillTint="34"/>
      </w:tcPr>
    </w:tblStylePr>
    <w:tblStylePr w:type="band1Vert"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auto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auto" w:fill="ffffff" w:themeFill="light1"/>
        <w:tcBorders>
          <w:top w:val="none" w:color="auto" w:sz="0" w:space="0"/>
          <w:left w:val="none" w:color="auto" w:sz="0" w:space="0"/>
          <w:bottom w:val="single" w:color="A5A5A5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auto" w:fill="auto"/>
        <w:tcBorders>
          <w:top w:val="none" w:color="auto" w:sz="0" w:space="0"/>
          <w:left w:val="single" w:color="A5A5A5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auto" w:fill="ffffff" w:themeFill="light1"/>
        <w:tcBorders>
          <w:top w:val="single" w:color="A5A5A5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8" w:customStyle="1">
    <w:name w:val="Grid Table 7 Colorful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auto" w:fill="fff2cb" w:themeFill="accent4" w:themeFillTint="34"/>
      </w:tcPr>
    </w:tblStylePr>
    <w:tblStylePr w:type="band1Vert"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auto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auto" w:fill="ffffff" w:themeFill="light1"/>
        <w:tcBorders>
          <w:top w:val="none" w:color="auto" w:sz="0" w:space="0"/>
          <w:left w:val="none" w:color="auto" w:sz="0" w:space="0"/>
          <w:bottom w:val="single" w:color="FFD865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auto" w:fill="auto"/>
        <w:tcBorders>
          <w:top w:val="none" w:color="auto" w:sz="0" w:space="0"/>
          <w:left w:val="single" w:color="FFD865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auto" w:fill="ffffff" w:themeFill="light1"/>
        <w:tcBorders>
          <w:top w:val="single" w:color="FFD865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9" w:customStyle="1">
    <w:name w:val="Grid Table 7 Colorful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auto" w:fill="d8e2f3" w:themeFill="accent5" w:themeFillTint="34"/>
      </w:tcPr>
    </w:tblStylePr>
    <w:tblStylePr w:type="band1Vert"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auto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auto" w:fill="ffffff" w:themeFill="light1"/>
        <w:tcBorders>
          <w:top w:val="none" w:color="auto" w:sz="0" w:space="0"/>
          <w:left w:val="none" w:color="auto" w:sz="0" w:space="0"/>
          <w:bottom w:val="single" w:color="95AFDD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auto" w:fill="auto"/>
        <w:tcBorders>
          <w:top w:val="none" w:color="auto" w:sz="0" w:space="0"/>
          <w:left w:val="single" w:color="95AFDD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auto" w:fill="ffffff" w:themeFill="light1"/>
        <w:tcBorders>
          <w:top w:val="single" w:color="95AFDD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0" w:customStyle="1">
    <w:name w:val="Grid Table 7 Colorful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auto" w:fill="e1efd8" w:themeFill="accent6" w:themeFillTint="34"/>
      </w:tcPr>
    </w:tblStylePr>
    <w:tblStylePr w:type="band1Vert"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auto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auto" w:fill="ffffff" w:themeFill="light1"/>
        <w:tcBorders>
          <w:top w:val="none" w:color="auto" w:sz="0" w:space="0"/>
          <w:left w:val="none" w:color="auto" w:sz="0" w:space="0"/>
          <w:bottom w:val="single" w:color="ADD394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auto" w:fill="auto"/>
        <w:tcBorders>
          <w:top w:val="none" w:color="auto" w:sz="0" w:space="0"/>
          <w:left w:val="single" w:color="ADD394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auto" w:fill="ffffff" w:themeFill="light1"/>
        <w:tcBorders>
          <w:top w:val="single" w:color="ADD394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1" w:customStyle="1">
    <w:name w:val="Список-таблица 1 светлая1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1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auto" w:fill="d5e5f4" w:themeFill="accent1" w:themeFillTint="40"/>
      </w:tcPr>
    </w:tblStylePr>
    <w:tblStylePr w:type="band1Vert">
      <w:tcPr>
        <w:shd w:val="clear" w:color="auto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2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auto" w:fill="fadecb" w:themeFill="accent2" w:themeFillTint="40"/>
      </w:tcPr>
    </w:tblStylePr>
    <w:tblStylePr w:type="band1Vert">
      <w:tcPr>
        <w:shd w:val="clear" w:color="auto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3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auto" w:fill="e8e8e8" w:themeFill="accent3" w:themeFillTint="40"/>
      </w:tcPr>
    </w:tblStylePr>
    <w:tblStylePr w:type="band1Vert">
      <w:tcPr>
        <w:shd w:val="clear" w:color="auto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4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auto" w:fill="ffefbf" w:themeFill="accent4" w:themeFillTint="40"/>
      </w:tcPr>
    </w:tblStylePr>
    <w:tblStylePr w:type="band1Vert">
      <w:tcPr>
        <w:shd w:val="clear" w:color="auto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5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auto" w:fill="cfdbf0" w:themeFill="accent5" w:themeFillTint="40"/>
      </w:tcPr>
    </w:tblStylePr>
    <w:tblStylePr w:type="band1Vert">
      <w:tcPr>
        <w:shd w:val="clear" w:color="auto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6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auto" w:fill="daebcf" w:themeFill="accent6" w:themeFillTint="40"/>
      </w:tcPr>
    </w:tblStylePr>
    <w:tblStylePr w:type="band1Vert">
      <w:tcPr>
        <w:shd w:val="clear" w:color="auto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Список-таблица 2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05" w:customStyle="1">
    <w:name w:val="Список-таблица 3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Список-таблица 4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Список-таблица 5 темная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auto" w:fill="7f7f7f" w:themeFill="text1" w:themeFillTint="80"/>
    </w:tblPr>
    <w:tblStylePr w:type="band1Horz">
      <w:tcPr>
        <w:shd w:val="clear" w:color="auto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auto" w:fill="5b9bd5" w:themeFill="accent1"/>
    </w:tblPr>
    <w:tblStylePr w:type="band1Horz">
      <w:tcPr>
        <w:shd w:val="clear" w:color="auto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uto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uto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auto" w:fill="f4b184" w:themeFill="accent2" w:themeFillTint="97"/>
    </w:tblPr>
    <w:tblStylePr w:type="band1Horz">
      <w:tcPr>
        <w:shd w:val="clear" w:color="auto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uto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uto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auto" w:fill="c9c9c9" w:themeFill="accent3" w:themeFillTint="98"/>
    </w:tblPr>
    <w:tblStylePr w:type="band1Horz">
      <w:tcPr>
        <w:shd w:val="clear" w:color="auto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uto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uto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auto" w:fill="ffd865" w:themeFill="accent4" w:themeFillTint="9A"/>
    </w:tblPr>
    <w:tblStylePr w:type="band1Horz">
      <w:tcPr>
        <w:shd w:val="clear" w:color="auto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uto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uto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auto" w:fill="8da9db" w:themeFill="accent5" w:themeFillTint="9A"/>
    </w:tblPr>
    <w:tblStylePr w:type="band1Horz">
      <w:tcPr>
        <w:shd w:val="clear" w:color="auto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uto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uto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uto" w:fill="a9d08e" w:themeFill="accent6" w:themeFillTint="98"/>
    </w:tblPr>
    <w:tblStylePr w:type="band1Horz">
      <w:tcPr>
        <w:shd w:val="clear" w:color="auto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uto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uto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Список-таблица 6 цветная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7" w:customStyle="1">
    <w:name w:val="List Table 6 Colorful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auto" w:fill="d5e5f4" w:themeFill="accent1" w:themeFillTint="40"/>
      </w:tcPr>
    </w:tblStylePr>
    <w:tblStylePr w:type="band1Vert"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28" w:customStyle="1">
    <w:name w:val="List Table 6 Colorful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auto" w:fill="fadecb" w:themeFill="accent2" w:themeFillTint="40"/>
      </w:tcPr>
    </w:tblStylePr>
    <w:tblStylePr w:type="band1Vert"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29" w:customStyle="1">
    <w:name w:val="List Table 6 Colorful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auto" w:fill="e8e8e8" w:themeFill="accent3" w:themeFillTint="40"/>
      </w:tcPr>
    </w:tblStylePr>
    <w:tblStylePr w:type="band1Vert"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30" w:customStyle="1">
    <w:name w:val="List Table 6 Colorful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auto" w:fill="ffefbf" w:themeFill="accent4" w:themeFillTint="40"/>
      </w:tcPr>
    </w:tblStylePr>
    <w:tblStylePr w:type="band1Vert"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31" w:customStyle="1">
    <w:name w:val="List Table 6 Colorful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auto" w:fill="cfdbf0" w:themeFill="accent5" w:themeFillTint="40"/>
      </w:tcPr>
    </w:tblStylePr>
    <w:tblStylePr w:type="band1Vert"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32" w:customStyle="1">
    <w:name w:val="List Table 6 Colorful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auto" w:fill="daebcf" w:themeFill="accent6" w:themeFillTint="40"/>
      </w:tcPr>
    </w:tblStylePr>
    <w:tblStylePr w:type="band1Vert"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33" w:customStyle="1">
    <w:name w:val="Список-таблица 7 цветная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34" w:customStyle="1">
    <w:name w:val="List Table 7 Colorful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auto" w:fill="d5e5f4" w:themeFill="accent1" w:themeFillTint="40"/>
      </w:tcPr>
    </w:tblStylePr>
    <w:tblStylePr w:type="band1Vert"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auto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auto" w:fill="ffffff" w:themeFill="light1"/>
        <w:tcBorders>
          <w:top w:val="none" w:color="auto" w:sz="0" w:space="0"/>
          <w:left w:val="none" w:color="auto" w:sz="0" w:space="0"/>
          <w:bottom w:val="single" w:color="5B9BD5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auto" w:fill="auto"/>
        <w:tcBorders>
          <w:top w:val="none" w:color="auto" w:sz="0" w:space="0"/>
          <w:left w:val="single" w:color="5B9BD5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auto" w:fill="ffffff" w:themeFill="light1"/>
        <w:tcBorders>
          <w:top w:val="single" w:color="5B9BD5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35" w:customStyle="1">
    <w:name w:val="List Table 7 Colorful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auto" w:fill="fadecb" w:themeFill="accent2" w:themeFillTint="40"/>
      </w:tcPr>
    </w:tblStylePr>
    <w:tblStylePr w:type="band1Vert"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auto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auto" w:fill="ffffff" w:themeFill="light1"/>
        <w:tcBorders>
          <w:top w:val="none" w:color="auto" w:sz="0" w:space="0"/>
          <w:left w:val="none" w:color="auto" w:sz="0" w:space="0"/>
          <w:bottom w:val="single" w:color="F4B184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auto" w:fill="auto"/>
        <w:tcBorders>
          <w:top w:val="none" w:color="auto" w:sz="0" w:space="0"/>
          <w:left w:val="single" w:color="F4B184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auto" w:fill="ffffff" w:themeFill="light1"/>
        <w:tcBorders>
          <w:top w:val="single" w:color="F4B184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36" w:customStyle="1">
    <w:name w:val="List Table 7 Colorful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auto" w:fill="e8e8e8" w:themeFill="accent3" w:themeFillTint="40"/>
      </w:tcPr>
    </w:tblStylePr>
    <w:tblStylePr w:type="band1Vert"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auto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auto" w:fill="ffffff" w:themeFill="light1"/>
        <w:tcBorders>
          <w:top w:val="none" w:color="auto" w:sz="0" w:space="0"/>
          <w:left w:val="none" w:color="auto" w:sz="0" w:space="0"/>
          <w:bottom w:val="single" w:color="C9C9C9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auto" w:fill="auto"/>
        <w:tcBorders>
          <w:top w:val="none" w:color="auto" w:sz="0" w:space="0"/>
          <w:left w:val="single" w:color="C9C9C9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auto" w:fill="ffffff" w:themeFill="light1"/>
        <w:tcBorders>
          <w:top w:val="single" w:color="C9C9C9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37" w:customStyle="1">
    <w:name w:val="List Table 7 Colorful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auto" w:fill="ffefbf" w:themeFill="accent4" w:themeFillTint="40"/>
      </w:tcPr>
    </w:tblStylePr>
    <w:tblStylePr w:type="band1Vert"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auto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auto" w:fill="ffffff" w:themeFill="light1"/>
        <w:tcBorders>
          <w:top w:val="none" w:color="auto" w:sz="0" w:space="0"/>
          <w:left w:val="none" w:color="auto" w:sz="0" w:space="0"/>
          <w:bottom w:val="single" w:color="FFD865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auto" w:fill="auto"/>
        <w:tcBorders>
          <w:top w:val="none" w:color="auto" w:sz="0" w:space="0"/>
          <w:left w:val="single" w:color="FFD865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auto" w:fill="ffffff" w:themeFill="light1"/>
        <w:tcBorders>
          <w:top w:val="single" w:color="FFD865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38" w:customStyle="1">
    <w:name w:val="List Table 7 Colorful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auto" w:fill="cfdbf0" w:themeFill="accent5" w:themeFillTint="40"/>
      </w:tcPr>
    </w:tblStylePr>
    <w:tblStylePr w:type="band1Vert"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auto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auto" w:fill="ffffff" w:themeFill="light1"/>
        <w:tcBorders>
          <w:top w:val="none" w:color="auto" w:sz="0" w:space="0"/>
          <w:left w:val="none" w:color="auto" w:sz="0" w:space="0"/>
          <w:bottom w:val="single" w:color="8DA9DB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auto" w:fill="auto"/>
        <w:tcBorders>
          <w:top w:val="none" w:color="auto" w:sz="0" w:space="0"/>
          <w:left w:val="single" w:color="8DA9DB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auto" w:fill="ffffff" w:themeFill="light1"/>
        <w:tcBorders>
          <w:top w:val="single" w:color="8DA9DB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39" w:customStyle="1">
    <w:name w:val="List Table 7 Colorful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auto" w:fill="daebcf" w:themeFill="accent6" w:themeFillTint="40"/>
      </w:tcPr>
    </w:tblStylePr>
    <w:tblStylePr w:type="band1Vert"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auto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auto" w:fill="ffffff" w:themeFill="light1"/>
        <w:tcBorders>
          <w:top w:val="none" w:color="auto" w:sz="0" w:space="0"/>
          <w:left w:val="none" w:color="auto" w:sz="0" w:space="0"/>
          <w:bottom w:val="single" w:color="A9D08E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auto" w:fill="auto"/>
        <w:tcBorders>
          <w:top w:val="none" w:color="auto" w:sz="0" w:space="0"/>
          <w:left w:val="single" w:color="A9D08E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auto" w:fill="ffffff" w:themeFill="light1"/>
        <w:tcBorders>
          <w:top w:val="single" w:color="A9D08E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40" w:customStyle="1">
    <w:name w:val="Lined - Accent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841" w:customStyle="1">
    <w:name w:val="Lined - Accent 1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68a2d8" w:themeFill="accent1" w:themeFillTint="EA"/>
      </w:tcPr>
    </w:tblStylePr>
  </w:style>
  <w:style w:type="table" w:styleId="842" w:customStyle="1">
    <w:name w:val="Lined - Accent 2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</w:style>
  <w:style w:type="table" w:styleId="843" w:customStyle="1">
    <w:name w:val="Lined - Accent 3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</w:style>
  <w:style w:type="table" w:styleId="844" w:customStyle="1">
    <w:name w:val="Lined - Accent 4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</w:style>
  <w:style w:type="table" w:styleId="845" w:customStyle="1">
    <w:name w:val="Lined - Accent 5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</w:style>
  <w:style w:type="table" w:styleId="846" w:customStyle="1">
    <w:name w:val="Lined - Accent 6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</w:style>
  <w:style w:type="table" w:styleId="847" w:customStyle="1">
    <w:name w:val="Bordered &amp; Lined - Accent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848" w:customStyle="1">
    <w:name w:val="Bordered &amp; Lined - Accent 1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68a2d8" w:themeFill="accent1" w:themeFillTint="EA"/>
      </w:tcPr>
    </w:tblStylePr>
  </w:style>
  <w:style w:type="table" w:styleId="849" w:customStyle="1">
    <w:name w:val="Bordered &amp; Lined - Accent 2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</w:style>
  <w:style w:type="table" w:styleId="850" w:customStyle="1">
    <w:name w:val="Bordered &amp; Lined - Accent 3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</w:style>
  <w:style w:type="table" w:styleId="851" w:customStyle="1">
    <w:name w:val="Bordered &amp; Lined - Accent 4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</w:style>
  <w:style w:type="table" w:styleId="852" w:customStyle="1">
    <w:name w:val="Bordered &amp; Lined - Accent 5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</w:style>
  <w:style w:type="table" w:styleId="853" w:customStyle="1">
    <w:name w:val="Bordered &amp; Lined - Accent 6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</w:style>
  <w:style w:type="table" w:styleId="854" w:customStyle="1">
    <w:name w:val="Bordered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5" w:customStyle="1">
    <w:name w:val="Bordered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56" w:customStyle="1">
    <w:name w:val="Bordered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57" w:customStyle="1">
    <w:name w:val="Bordered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58" w:customStyle="1">
    <w:name w:val="Bordered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59" w:customStyle="1">
    <w:name w:val="Bordered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60" w:customStyle="1">
    <w:name w:val="Bordered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861">
    <w:name w:val="footnote text"/>
    <w:basedOn w:val="662"/>
    <w:link w:val="862"/>
    <w:uiPriority w:val="99"/>
    <w:semiHidden/>
    <w:unhideWhenUsed/>
    <w:pPr>
      <w:spacing w:after="40" w:line="240" w:lineRule="auto"/>
    </w:pPr>
    <w:rPr>
      <w:sz w:val="18"/>
    </w:rPr>
  </w:style>
  <w:style w:type="character" w:styleId="862" w:customStyle="1">
    <w:name w:val="Текст сноски Знак"/>
    <w:link w:val="861"/>
    <w:uiPriority w:val="99"/>
    <w:rPr>
      <w:sz w:val="18"/>
    </w:rPr>
  </w:style>
  <w:style w:type="character" w:styleId="863">
    <w:name w:val="footnote reference"/>
    <w:basedOn w:val="672"/>
    <w:uiPriority w:val="99"/>
    <w:unhideWhenUsed/>
    <w:rPr>
      <w:vertAlign w:val="superscript"/>
    </w:rPr>
  </w:style>
  <w:style w:type="paragraph" w:styleId="864">
    <w:name w:val="endnote text"/>
    <w:basedOn w:val="662"/>
    <w:link w:val="865"/>
    <w:uiPriority w:val="99"/>
    <w:semiHidden/>
    <w:unhideWhenUsed/>
    <w:pPr>
      <w:spacing w:after="0" w:line="240" w:lineRule="auto"/>
    </w:pPr>
    <w:rPr>
      <w:sz w:val="20"/>
    </w:rPr>
  </w:style>
  <w:style w:type="character" w:styleId="865" w:customStyle="1">
    <w:name w:val="Текст концевой сноски Знак"/>
    <w:link w:val="864"/>
    <w:uiPriority w:val="99"/>
    <w:rPr>
      <w:sz w:val="20"/>
    </w:rPr>
  </w:style>
  <w:style w:type="character" w:styleId="866">
    <w:name w:val="endnote reference"/>
    <w:basedOn w:val="672"/>
    <w:uiPriority w:val="99"/>
    <w:semiHidden/>
    <w:unhideWhenUsed/>
    <w:rPr>
      <w:vertAlign w:val="superscript"/>
    </w:rPr>
  </w:style>
  <w:style w:type="paragraph" w:styleId="867">
    <w:name w:val="toc 1"/>
    <w:basedOn w:val="662"/>
    <w:next w:val="662"/>
    <w:uiPriority w:val="39"/>
    <w:unhideWhenUsed/>
    <w:pPr>
      <w:spacing w:after="57"/>
    </w:pPr>
  </w:style>
  <w:style w:type="paragraph" w:styleId="868">
    <w:name w:val="toc 2"/>
    <w:basedOn w:val="662"/>
    <w:next w:val="662"/>
    <w:uiPriority w:val="39"/>
    <w:unhideWhenUsed/>
    <w:pPr>
      <w:ind w:left="283"/>
      <w:spacing w:after="57"/>
    </w:pPr>
  </w:style>
  <w:style w:type="paragraph" w:styleId="869">
    <w:name w:val="toc 3"/>
    <w:basedOn w:val="662"/>
    <w:next w:val="662"/>
    <w:uiPriority w:val="39"/>
    <w:unhideWhenUsed/>
    <w:pPr>
      <w:ind w:left="567"/>
      <w:spacing w:after="57"/>
    </w:pPr>
  </w:style>
  <w:style w:type="paragraph" w:styleId="870">
    <w:name w:val="toc 4"/>
    <w:basedOn w:val="662"/>
    <w:next w:val="662"/>
    <w:uiPriority w:val="39"/>
    <w:unhideWhenUsed/>
    <w:pPr>
      <w:ind w:left="850"/>
      <w:spacing w:after="57"/>
    </w:pPr>
  </w:style>
  <w:style w:type="paragraph" w:styleId="871">
    <w:name w:val="toc 5"/>
    <w:basedOn w:val="662"/>
    <w:next w:val="662"/>
    <w:uiPriority w:val="39"/>
    <w:unhideWhenUsed/>
    <w:pPr>
      <w:ind w:left="1134"/>
      <w:spacing w:after="57"/>
    </w:pPr>
  </w:style>
  <w:style w:type="paragraph" w:styleId="872">
    <w:name w:val="toc 6"/>
    <w:basedOn w:val="662"/>
    <w:next w:val="662"/>
    <w:uiPriority w:val="39"/>
    <w:unhideWhenUsed/>
    <w:pPr>
      <w:ind w:left="1417"/>
      <w:spacing w:after="57"/>
    </w:pPr>
  </w:style>
  <w:style w:type="paragraph" w:styleId="873">
    <w:name w:val="toc 7"/>
    <w:basedOn w:val="662"/>
    <w:next w:val="662"/>
    <w:uiPriority w:val="39"/>
    <w:unhideWhenUsed/>
    <w:pPr>
      <w:ind w:left="1701"/>
      <w:spacing w:after="57"/>
    </w:pPr>
  </w:style>
  <w:style w:type="paragraph" w:styleId="874">
    <w:name w:val="toc 8"/>
    <w:basedOn w:val="662"/>
    <w:next w:val="662"/>
    <w:uiPriority w:val="39"/>
    <w:unhideWhenUsed/>
    <w:pPr>
      <w:ind w:left="1984"/>
      <w:spacing w:after="57"/>
    </w:pPr>
  </w:style>
  <w:style w:type="paragraph" w:styleId="875">
    <w:name w:val="toc 9"/>
    <w:basedOn w:val="662"/>
    <w:next w:val="662"/>
    <w:uiPriority w:val="39"/>
    <w:unhideWhenUsed/>
    <w:pPr>
      <w:ind w:left="2268"/>
      <w:spacing w:after="57"/>
    </w:pPr>
  </w:style>
  <w:style w:type="paragraph" w:styleId="876">
    <w:name w:val="TOC Heading"/>
    <w:uiPriority w:val="39"/>
    <w:unhideWhenUsed/>
  </w:style>
  <w:style w:type="paragraph" w:styleId="877">
    <w:name w:val="table of figures"/>
    <w:basedOn w:val="662"/>
    <w:next w:val="662"/>
    <w:uiPriority w:val="99"/>
    <w:unhideWhenUsed/>
    <w:pPr>
      <w:spacing w:after="0"/>
    </w:pPr>
  </w:style>
  <w:style w:type="paragraph" w:styleId="878" w:customStyle="1">
    <w:name w:val="ConsPlusNormal"/>
    <w:pPr>
      <w:spacing w:after="0" w:line="240" w:lineRule="auto"/>
      <w:widowControl w:val="off"/>
    </w:pPr>
    <w:rPr>
      <w:rFonts w:eastAsia="Times New Roman"/>
      <w:sz w:val="20"/>
      <w:szCs w:val="20"/>
      <w:lang w:eastAsia="ru-RU"/>
    </w:rPr>
  </w:style>
  <w:style w:type="paragraph" w:styleId="879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80" w:customStyle="1">
    <w:name w:val="ConsPlusTitle"/>
    <w:pPr>
      <w:spacing w:after="0" w:line="240" w:lineRule="auto"/>
      <w:widowControl w:val="off"/>
    </w:pPr>
    <w:rPr>
      <w:rFonts w:eastAsia="Times New Roman"/>
      <w:b/>
      <w:sz w:val="20"/>
      <w:szCs w:val="20"/>
      <w:lang w:eastAsia="ru-RU"/>
    </w:rPr>
  </w:style>
  <w:style w:type="paragraph" w:styleId="881" w:customStyle="1">
    <w:name w:val="ConsPlusCell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82" w:customStyle="1">
    <w:name w:val="ConsPlusDocList"/>
    <w:pPr>
      <w:spacing w:after="0" w:line="240" w:lineRule="auto"/>
      <w:widowControl w:val="off"/>
    </w:pPr>
    <w:rPr>
      <w:rFonts w:eastAsia="Times New Roman"/>
      <w:sz w:val="20"/>
      <w:szCs w:val="20"/>
      <w:lang w:eastAsia="ru-RU"/>
    </w:rPr>
  </w:style>
  <w:style w:type="paragraph" w:styleId="883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84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885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886">
    <w:name w:val="Hyperlink"/>
    <w:basedOn w:val="672"/>
    <w:uiPriority w:val="99"/>
    <w:unhideWhenUsed/>
    <w:rPr>
      <w:color w:val="0563c1" w:themeColor="hyperlink"/>
      <w:u w:val="single"/>
    </w:rPr>
  </w:style>
  <w:style w:type="paragraph" w:styleId="887" w:customStyle="1">
    <w:name w:val="ConsNonformat"/>
    <w:pPr>
      <w:ind w:right="19772"/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table" w:styleId="888">
    <w:name w:val="Table Grid"/>
    <w:basedOn w:val="673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9">
    <w:name w:val="Balloon Text"/>
    <w:basedOn w:val="662"/>
    <w:link w:val="89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90" w:customStyle="1">
    <w:name w:val="Текст выноски Знак"/>
    <w:basedOn w:val="672"/>
    <w:link w:val="889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hyperlink" Target="consultantplus://offline/ref=1C3E63C1D91D37286BE6D29EB771FBCE8D0F0A9C9EA79E4D4ACEB8560F4EDD3AC1B5448C58B89FCAB30E80640949272F9EA196296CFCF54BP21EH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revision>7</cp:revision>
  <dcterms:created xsi:type="dcterms:W3CDTF">2024-12-20T07:13:00Z</dcterms:created>
  <dcterms:modified xsi:type="dcterms:W3CDTF">2025-01-21T12:30:37Z</dcterms:modified>
</cp:coreProperties>
</file>