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5"/>
        <w:jc w:val="center"/>
        <w:rPr>
          <w:rFonts w:ascii="Times New Roman" w:hAnsi="Times New Roman" w:eastAsia="Courier New" w:cs="Times New Roman"/>
          <w:b/>
          <w:sz w:val="20"/>
          <w:szCs w:val="20"/>
        </w:rPr>
      </w:pPr>
      <w:r>
        <w:rPr>
          <w:rFonts w:ascii="Times New Roman" w:hAnsi="Times New Roman" w:eastAsia="Courier New" w:cs="Times New Roman"/>
          <w:b/>
          <w:sz w:val="20"/>
          <w:szCs w:val="20"/>
        </w:rPr>
        <w:t xml:space="preserve">ТРЕБОВАНИЯ К СОДЕРЖАНИЮ, СОСТАВУ ЗАЯВКИ НА УЧАСТИЕ В ЗАКУПКЕ </w:t>
      </w:r>
      <w:r/>
    </w:p>
    <w:p>
      <w:pPr>
        <w:pStyle w:val="855"/>
        <w:jc w:val="center"/>
        <w:rPr>
          <w:rFonts w:ascii="Times New Roman" w:hAnsi="Times New Roman" w:eastAsia="Courier New" w:cs="Times New Roman"/>
          <w:b/>
          <w:sz w:val="20"/>
          <w:szCs w:val="20"/>
        </w:rPr>
      </w:pPr>
      <w:r>
        <w:rPr>
          <w:rFonts w:ascii="Times New Roman" w:hAnsi="Times New Roman" w:eastAsia="Courier New" w:cs="Times New Roman"/>
          <w:b/>
          <w:sz w:val="20"/>
          <w:szCs w:val="20"/>
        </w:rPr>
        <w:t xml:space="preserve">И ИНСТРУКЦИЯ ПО ЕЕ ЗАПОЛНЕНИЮ</w:t>
      </w:r>
      <w:r/>
    </w:p>
    <w:p>
      <w:pPr>
        <w:pStyle w:val="855"/>
        <w:jc w:val="center"/>
        <w:rPr>
          <w:rFonts w:ascii="Times New Roman" w:hAnsi="Times New Roman" w:eastAsia="Courier New" w:cs="Times New Roman"/>
          <w:sz w:val="20"/>
          <w:szCs w:val="20"/>
        </w:rPr>
      </w:pPr>
      <w:r>
        <w:rPr>
          <w:rFonts w:ascii="Times New Roman" w:hAnsi="Times New Roman" w:eastAsia="Courier New" w:cs="Times New Roman"/>
          <w:sz w:val="20"/>
          <w:szCs w:val="20"/>
        </w:rPr>
      </w:r>
      <w:r/>
    </w:p>
    <w:tbl>
      <w:tblPr>
        <w:tblStyle w:val="858"/>
        <w:tblW w:w="10771" w:type="dxa"/>
        <w:tblLook w:val="04A0" w:firstRow="1" w:lastRow="0" w:firstColumn="1" w:lastColumn="0" w:noHBand="0" w:noVBand="1"/>
      </w:tblPr>
      <w:tblGrid>
        <w:gridCol w:w="601"/>
        <w:gridCol w:w="5206"/>
        <w:gridCol w:w="4964"/>
      </w:tblGrid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855"/>
              <w:jc w:val="center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№ п/п</w:t>
            </w:r>
            <w:r/>
          </w:p>
        </w:tc>
        <w:tc>
          <w:tcPr>
            <w:tcW w:w="5206" w:type="dxa"/>
            <w:textDirection w:val="lrTb"/>
            <w:noWrap w:val="false"/>
          </w:tcPr>
          <w:p>
            <w:pPr>
              <w:pStyle w:val="855"/>
              <w:jc w:val="center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Требования к содержанию, составу заявки </w:t>
            </w:r>
            <w:r/>
          </w:p>
          <w:p>
            <w:pPr>
              <w:pStyle w:val="855"/>
              <w:jc w:val="center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на участие в закупке</w:t>
            </w:r>
            <w:r/>
          </w:p>
        </w:tc>
        <w:tc>
          <w:tcPr>
            <w:tcW w:w="4959" w:type="dxa"/>
            <w:textDirection w:val="lrTb"/>
            <w:noWrap w:val="false"/>
          </w:tcPr>
          <w:p>
            <w:pPr>
              <w:pStyle w:val="855"/>
              <w:jc w:val="center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Текст пояснений</w:t>
            </w:r>
            <w:r/>
          </w:p>
        </w:tc>
      </w:tr>
      <w:tr>
        <w:trPr>
          <w:trHeight w:val="495"/>
        </w:trPr>
        <w:tc>
          <w:tcPr>
            <w:gridSpan w:val="3"/>
            <w:shd w:val="clear" w:color="auto" w:fill="d9d9d9" w:themeFill="background1" w:themeFillShade="D9"/>
            <w:tcW w:w="10771" w:type="dxa"/>
            <w:vAlign w:val="center"/>
            <w:textDirection w:val="lrTb"/>
            <w:noWrap w:val="false"/>
          </w:tcPr>
          <w:p>
            <w:pPr>
              <w:pStyle w:val="855"/>
              <w:jc w:val="center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Информация и документы об участнике закупки</w:t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855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/>
          </w:p>
        </w:tc>
        <w:tc>
          <w:tcPr>
            <w:tcW w:w="5206" w:type="dxa"/>
            <w:textDirection w:val="lrTb"/>
            <w:noWrap w:val="false"/>
          </w:tcPr>
          <w:p>
            <w:pPr>
              <w:pStyle w:val="855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</w:t>
            </w:r>
            <w:bookmarkStart w:id="0" w:name="_GoBack"/>
            <w:r/>
            <w:bookmarkEnd w:id="0"/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документами юридического лица и для участника за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сделкой.</w:t>
            </w:r>
            <w:r/>
          </w:p>
        </w:tc>
        <w:tc>
          <w:tcPr>
            <w:tcW w:w="4959" w:type="dxa"/>
            <w:vAlign w:val="center"/>
            <w:textDirection w:val="lrTb"/>
            <w:noWrap w:val="false"/>
          </w:tcPr>
          <w:p>
            <w:pPr>
              <w:pStyle w:val="855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Установлено.</w:t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855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2.</w:t>
            </w:r>
            <w:r/>
          </w:p>
        </w:tc>
        <w:tc>
          <w:tcPr>
            <w:tcW w:w="5206" w:type="dxa"/>
            <w:textDirection w:val="lrTb"/>
            <w:noWrap w:val="false"/>
          </w:tcPr>
          <w:p>
            <w:pPr>
              <w:pStyle w:val="855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Декларация о соответствии участника закупки требованиям, установленным </w:t>
            </w:r>
            <w:hyperlink w:tooltip="#P777" w:anchor="P777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пунктами 3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- </w:t>
            </w:r>
            <w:hyperlink w:tooltip="#P780" w:anchor="P780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5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, </w:t>
            </w:r>
            <w:hyperlink w:tooltip="#P782" w:anchor="P782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7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- </w:t>
            </w:r>
            <w:hyperlink w:tooltip="#P791" w:anchor="P791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11 части 1 статьи 31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Федерального закона № 44-ФЗ.</w:t>
            </w:r>
            <w:r/>
          </w:p>
        </w:tc>
        <w:tc>
          <w:tcPr>
            <w:tcW w:w="4959" w:type="dxa"/>
            <w:vAlign w:val="center"/>
            <w:textDirection w:val="lrTb"/>
            <w:noWrap w:val="false"/>
          </w:tcPr>
          <w:p>
            <w:pPr>
              <w:pStyle w:val="855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Установлено.</w:t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855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3.</w:t>
            </w:r>
            <w:r/>
          </w:p>
        </w:tc>
        <w:tc>
          <w:tcPr>
            <w:tcW w:w="5206" w:type="dxa"/>
            <w:textDirection w:val="lrTb"/>
            <w:noWrap w:val="false"/>
          </w:tcPr>
          <w:p>
            <w:pPr>
              <w:pStyle w:val="855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      </w:r>
            <w:r/>
          </w:p>
        </w:tc>
        <w:tc>
          <w:tcPr>
            <w:tcW w:w="4959" w:type="dxa"/>
            <w:vAlign w:val="center"/>
            <w:textDirection w:val="lrTb"/>
            <w:noWrap w:val="false"/>
          </w:tcPr>
          <w:p>
            <w:pPr>
              <w:pStyle w:val="855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Установлено.</w:t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855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.</w:t>
            </w:r>
            <w:r/>
          </w:p>
        </w:tc>
        <w:tc>
          <w:tcPr>
            <w:tcW w:w="5206" w:type="dxa"/>
            <w:textDirection w:val="lrTb"/>
            <w:noWrap w:val="false"/>
          </w:tcPr>
          <w:p>
            <w:pPr>
              <w:jc w:val="both"/>
              <w:spacing w:line="220" w:lineRule="atLeast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Документы, подтверждающие соответствие участника закупки требованиям, установленным </w:t>
            </w:r>
            <w:hyperlink w:tooltip="#P775" w:anchor="P775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пунктом 1 части 1 статьи 31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Федерального закона № 44-ФЗ (в случае установления требований о предоставлении соответствующих документов в извещении об осуществлении закупки).</w:t>
            </w:r>
            <w:r/>
          </w:p>
        </w:tc>
        <w:tc>
          <w:tcPr>
            <w:tcW w:w="4959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Не установлено.</w:t>
            </w:r>
            <w:r/>
          </w:p>
          <w:p>
            <w:pPr>
              <w:jc w:val="both"/>
              <w:rPr>
                <w:rFonts w:ascii="Times New Roman" w:hAnsi="Times New Roman" w:eastAsia="Courier New" w:cs="Times New Roman"/>
                <w:i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i/>
                <w:sz w:val="20"/>
                <w:szCs w:val="20"/>
              </w:rPr>
            </w:r>
            <w:r/>
          </w:p>
        </w:tc>
      </w:tr>
      <w:tr>
        <w:trPr/>
        <w:tc>
          <w:tcPr>
            <w:tcW w:w="601" w:type="dxa"/>
            <w:vMerge w:val="restart"/>
            <w:textDirection w:val="lrTb"/>
            <w:noWrap w:val="false"/>
          </w:tcPr>
          <w:p>
            <w:pPr>
              <w:pStyle w:val="855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.</w:t>
            </w:r>
            <w:r/>
          </w:p>
          <w:p>
            <w:pPr>
              <w:pStyle w:val="855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</w:r>
            <w:r/>
          </w:p>
        </w:tc>
        <w:tc>
          <w:tcPr>
            <w:tcW w:w="5206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Courier New" w:cs="Times New Roman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Документы, подтверждающие соответствие участника закупки дополнительным требованиям, установленным в соответствии с </w:t>
            </w:r>
            <w:hyperlink w:tooltip="#P795" w:anchor="P795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частью</w:t>
              </w:r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 2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статьи 31 Федерального закона № 44-ФЗ, если иное не предусмотр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ено Федеральным законом № 44-ФЗ.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</w:r>
            <w:r/>
          </w:p>
        </w:tc>
        <w:tc>
          <w:tcPr>
            <w:tcW w:w="4959" w:type="dxa"/>
            <w:textDirection w:val="lrTb"/>
            <w:noWrap w:val="false"/>
          </w:tcPr>
          <w:p>
            <w:pPr>
              <w:jc w:val="both"/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Установлено.</w:t>
            </w: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r>
            <w:r/>
          </w:p>
          <w:p>
            <w:pPr>
              <w:pStyle w:val="855"/>
              <w:jc w:val="both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Исчерпывающий перечень документов установлен в Извещении об осуществлении закупки.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</w:r>
            <w:r/>
          </w:p>
          <w:p>
            <w:pPr>
              <w:pStyle w:val="855"/>
              <w:jc w:val="both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Не включаются участником закупки в заявку на участие в закупке. Такие документы направляются (по состоянию на дату и время их направления) оператором электронной площадки, из реестра участников закупок, аккредитованных на электронной площадке.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</w:r>
            <w:r/>
          </w:p>
          <w:p>
            <w:pPr>
              <w:pStyle w:val="855"/>
              <w:jc w:val="both"/>
              <w:rPr>
                <w:rFonts w:ascii="Times New Roman" w:hAnsi="Times New Roman" w:eastAsia="Courier New" w:cs="Times New Roman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 случае наличия противоречий между информацией, содержащейся в Единой информационной системе, и информацией, содержащейся в д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окументах, направляемых участниками закупки и предусмотренных приложением в графе "Информация и документы, подтверждающие соответствие участников закупки дополнительным требованиям", приоритет имеет информация, содержащаяся в Единой информационной системе</w:t>
            </w:r>
            <w:r>
              <w:rPr>
                <w:rFonts w:ascii="Times New Roman" w:hAnsi="Times New Roman" w:eastAsia="Courier New" w:cs="Times New Roman"/>
                <w:b/>
                <w:bCs/>
                <w:i/>
                <w:iCs/>
                <w:sz w:val="20"/>
                <w:szCs w:val="20"/>
              </w:rPr>
            </w:r>
            <w:r/>
          </w:p>
          <w:p>
            <w:pPr>
              <w:pStyle w:val="855"/>
              <w:jc w:val="both"/>
              <w:rPr>
                <w:rFonts w:ascii="Times New Roman" w:hAnsi="Times New Roman" w:eastAsia="Courier New" w:cs="Times New Roman"/>
                <w:b/>
                <w:bCs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</w:r>
            <w:r/>
          </w:p>
        </w:tc>
      </w:tr>
      <w:tr>
        <w:trPr/>
        <w:tc>
          <w:tcPr>
            <w:tcW w:w="60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5206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Courier New" w:cs="Times New Roman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Документы, подтверждающие соответствие участника закупки дополнительным требованиям, установленным в соответствии с частью 2.1 статьи 31 Федерального закона № 44-ФЗ, если иное не предусмотр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ено Федеральным законом № 44-ФЗ.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</w:r>
            <w:r/>
          </w:p>
        </w:tc>
        <w:tc>
          <w:tcPr>
            <w:tcW w:w="4959" w:type="dxa"/>
            <w:vMerge w:val="restart"/>
            <w:textDirection w:val="lrTb"/>
            <w:noWrap w:val="false"/>
          </w:tcPr>
          <w:p>
            <w:pPr>
              <w:pStyle w:val="855"/>
              <w:jc w:val="both"/>
            </w:pPr>
            <w:r>
              <w:rPr>
                <w:rFonts w:ascii="Times New Roman" w:hAnsi="Times New Roman" w:eastAsia="Courier New" w:cs="Times New Roman"/>
                <w:b/>
                <w:bCs/>
                <w:iCs/>
                <w:sz w:val="20"/>
                <w:szCs w:val="20"/>
              </w:rPr>
              <w:t xml:space="preserve">Не утановлено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855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1.6.</w:t>
            </w:r>
            <w:r/>
          </w:p>
        </w:tc>
        <w:tc>
          <w:tcPr>
            <w:tcW w:w="5206" w:type="dxa"/>
            <w:textDirection w:val="lrTb"/>
            <w:noWrap w:val="false"/>
          </w:tcPr>
          <w:p>
            <w:pPr>
              <w:pStyle w:val="85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Документы, подтверждающие квалификацию участника закупки.</w:t>
            </w:r>
            <w:r/>
          </w:p>
          <w:p>
            <w:pPr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*Отсутствие таких документов не является основанием для признания заявки не соответствующей требованиям Федерального закона № 44-ФЗ.</w:t>
            </w:r>
            <w:r/>
          </w:p>
        </w:tc>
        <w:tc>
          <w:tcPr>
            <w:tcW w:w="4959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Заказчиком установлен критерий оценки заявок «Квалификация участников закупки, в том числе наличие у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квалификации»</w:t>
            </w:r>
            <w:r/>
          </w:p>
          <w:p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Заявка на участие в закупке может содержать документы, подтверждающие квалификацию участника закупки.</w:t>
            </w:r>
            <w:r/>
          </w:p>
          <w:p>
            <w:pPr>
              <w:jc w:val="both"/>
              <w:rPr>
                <w:rFonts w:ascii="Times New Roman" w:hAnsi="Times New Roman" w:eastAsia="Courier New" w:cs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Документы, подтверждающие квалификацию участника закупки, указаны в электронном документе Извещения об осуществлении закупки «Порядок рассмотрения и оценки заявок на участие в конкурсах в соответствии с Федеральным законом № 44-ФЗ».</w:t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855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2.</w:t>
            </w:r>
            <w:r/>
          </w:p>
        </w:tc>
        <w:tc>
          <w:tcPr>
            <w:tcW w:w="5206" w:type="dxa"/>
            <w:vAlign w:val="center"/>
            <w:textDirection w:val="lrTb"/>
            <w:noWrap w:val="false"/>
          </w:tcPr>
          <w:p>
            <w:pPr>
              <w:pStyle w:val="855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Предложение участника закупки в отношении объекта закупки</w:t>
            </w:r>
            <w:r/>
          </w:p>
        </w:tc>
        <w:tc>
          <w:tcPr>
            <w:tcW w:w="4959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bCs/>
                <w:iCs/>
                <w:sz w:val="20"/>
                <w:szCs w:val="20"/>
              </w:rPr>
              <w:t xml:space="preserve">Не</w:t>
            </w: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 установлено</w:t>
            </w: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.</w:t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855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3.</w:t>
            </w:r>
            <w:r/>
          </w:p>
        </w:tc>
        <w:tc>
          <w:tcPr>
            <w:tcW w:w="5206" w:type="dxa"/>
            <w:vAlign w:val="center"/>
            <w:textDirection w:val="lrTb"/>
            <w:noWrap w:val="false"/>
          </w:tcPr>
          <w:p>
            <w:pPr>
              <w:pStyle w:val="855"/>
              <w:jc w:val="both"/>
              <w:rPr>
                <w:rFonts w:ascii="Times New Roman" w:hAnsi="Times New Roman" w:eastAsia="Courier New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Cs/>
                <w:sz w:val="20"/>
                <w:szCs w:val="20"/>
              </w:rPr>
              <w:t xml:space="preserve">Предложение участника закупки о цене контракта</w:t>
            </w:r>
            <w:r/>
          </w:p>
        </w:tc>
        <w:tc>
          <w:tcPr>
            <w:tcW w:w="4959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Установлено.</w:t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855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4.</w:t>
            </w:r>
            <w:r/>
          </w:p>
        </w:tc>
        <w:tc>
          <w:tcPr>
            <w:tcW w:w="5206" w:type="dxa"/>
            <w:textDirection w:val="lrTb"/>
            <w:noWrap w:val="false"/>
          </w:tcPr>
          <w:p>
            <w:pPr>
              <w:pStyle w:val="855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Информация и документы, предусмотренные нормативными правовыми актами, принятыми в соответствии с </w:t>
            </w:r>
            <w:hyperlink w:tooltip="#P293" w:anchor="P293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частями 3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и </w:t>
            </w:r>
            <w:hyperlink w:tooltip="#P295" w:anchor="P295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4 статьи 14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Федерального закона № 44-ФЗ.</w:t>
            </w:r>
            <w:r/>
          </w:p>
          <w:p>
            <w:pPr>
              <w:jc w:val="both"/>
              <w:rPr>
                <w:rFonts w:ascii="Times New Roman" w:hAnsi="Times New Roman" w:eastAsia="Courier New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 случае отсутствия таких информации и документов в заявке на уча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      </w:r>
            <w:r/>
          </w:p>
        </w:tc>
        <w:tc>
          <w:tcPr>
            <w:tcW w:w="4959" w:type="dxa"/>
            <w:vAlign w:val="center"/>
            <w:textDirection w:val="lrTb"/>
            <w:noWrap w:val="false"/>
          </w:tcPr>
          <w:p>
            <w:pPr>
              <w:rPr>
                <w:rFonts w:ascii="Times New Roman" w:hAnsi="Times New Roman" w:eastAsia="Courier New" w:cs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eastAsia="Courier New" w:cs="Times New Roman"/>
                <w:b/>
                <w:bCs/>
                <w:iCs/>
                <w:sz w:val="20"/>
                <w:szCs w:val="20"/>
              </w:rPr>
              <w:t xml:space="preserve">Не </w:t>
            </w: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установлено.</w:t>
            </w:r>
            <w:r/>
          </w:p>
        </w:tc>
      </w:tr>
      <w:tr>
        <w:trPr>
          <w:trHeight w:val="340"/>
        </w:trPr>
        <w:tc>
          <w:tcPr>
            <w:gridSpan w:val="3"/>
            <w:shd w:val="clear" w:color="auto" w:fill="d9d9d9" w:themeFill="background1" w:themeFillShade="D9"/>
            <w:tcW w:w="1077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eastAsia="Courier New" w:cs="Times New Roman"/>
                <w:b/>
                <w:bCs/>
                <w:iCs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bCs/>
                <w:iCs/>
                <w:sz w:val="20"/>
                <w:szCs w:val="20"/>
              </w:rPr>
              <w:t xml:space="preserve">5.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Инструкция по заполнению заявки на участие в закупке</w:t>
            </w:r>
            <w:r/>
          </w:p>
        </w:tc>
      </w:tr>
      <w:tr>
        <w:trPr/>
        <w:tc>
          <w:tcPr>
            <w:tcW w:w="601" w:type="dxa"/>
            <w:textDirection w:val="lrTb"/>
            <w:noWrap w:val="false"/>
          </w:tcPr>
          <w:p>
            <w:pPr>
              <w:pStyle w:val="855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5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/>
          </w:p>
        </w:tc>
        <w:tc>
          <w:tcPr>
            <w:gridSpan w:val="2"/>
            <w:tcW w:w="10170" w:type="dxa"/>
            <w:textDirection w:val="lrTb"/>
            <w:noWrap w:val="false"/>
          </w:tcPr>
          <w:p>
            <w:pPr>
              <w:pStyle w:val="855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 Подать заявку на участие в закупке вправе только зарегистриров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анный в единой информационной системе и аккредитованный на электронной площадке, участник закупки путем направления такой заявки в соответствии с Федеральным законом № 44-ФЗ оператору электронной площадки, оператору специализированной электронной площадки.</w:t>
            </w:r>
            <w:r/>
          </w:p>
          <w:p>
            <w:pPr>
              <w:pStyle w:val="855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2. 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закупки, до окончания срока подачи заявок на участие в закупке.</w:t>
            </w:r>
            <w:r/>
          </w:p>
          <w:p>
            <w:pPr>
              <w:pStyle w:val="855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3. Подача заявки на участие в закупке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и в соответствии с заявкой такого участника закупки на участие в закупке.</w:t>
            </w:r>
            <w:r/>
          </w:p>
          <w:p>
            <w:pPr>
              <w:pStyle w:val="855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4. Заявка на участие в закупке должна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быть заполнена на русском языке. Отдельные документы (или их части), предоставленные участником закупки в составе заявки на участие в закупке, могут быть подготовлены на другом языке при условии, что к ним будет прилагаться точный перевод необходимых разд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елов на русский язык. Удостоверение верности перевода с иностранного языка на русский язык осуществляется в соответствии со статьей 81 Основ законодательства Российской Федерации о нотариате, утвержденных Верховным Советом РФ 11 февраля 1993 года № 4462-1.</w:t>
            </w:r>
            <w:r/>
          </w:p>
          <w:p>
            <w:pPr>
              <w:pStyle w:val="855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5. При оформлении заявки участникам закупки следует использовать общепринятые обозначения и наименования в соответствии с требованиями действующих нормативных актов. Сведения, которые содержатся в заявке, не должны допускать двусмысленных толкований. </w:t>
            </w:r>
            <w:r/>
          </w:p>
          <w:p>
            <w:pPr>
              <w:pStyle w:val="855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6. Все документы, входящие в состав заявки на участие в закупке, должны иметь четко читаемый текст.</w:t>
            </w:r>
            <w:r/>
          </w:p>
          <w:p>
            <w:pPr>
              <w:pStyle w:val="855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7. Характеристики предлагаемог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о участником закупки товара (в том числе поставляемого заказчику при выполнении закупаемых работ, оказании закупаемых услуг, должны соответствовать показателям, установленным в описании объекта закупки, товарный знак (при наличии у товара товарного знака).</w:t>
            </w:r>
            <w:r/>
          </w:p>
          <w:p>
            <w:pPr>
              <w:pStyle w:val="855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8. Участником закупки в заявке устанавливаются характеристики и показатели товара, подлежащие указанию в заявке, соответствующие значениям, установленным в описании объекта закупки. </w:t>
            </w:r>
            <w:r/>
          </w:p>
          <w:p>
            <w:pPr>
              <w:pStyle w:val="855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9. При подаче сведений относительно предложенного товара участником закупки должны применяться обозначения (характеристики и показатели товара, подлежащие указанию в заявке) в соответствии с обозначениями, установленными в описании объекта закупки. </w:t>
            </w:r>
            <w:r/>
          </w:p>
          <w:p>
            <w:pPr>
              <w:pStyle w:val="855"/>
              <w:ind w:firstLine="171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10. Ответственность за достоверность сведений, указанных в заявке, несет участник закупки</w:t>
            </w:r>
            <w:r/>
          </w:p>
        </w:tc>
      </w:tr>
    </w:tbl>
    <w:p>
      <w:pPr>
        <w:pStyle w:val="855"/>
        <w:jc w:val="center"/>
        <w:rPr>
          <w:rFonts w:ascii="Times New Roman" w:hAnsi="Times New Roman" w:eastAsia="Courier New" w:cs="Times New Roman"/>
          <w:sz w:val="20"/>
          <w:szCs w:val="20"/>
        </w:rPr>
      </w:pPr>
      <w:r>
        <w:rPr>
          <w:rFonts w:ascii="Times New Roman" w:hAnsi="Times New Roman" w:eastAsia="Courier New" w:cs="Times New Roman"/>
          <w:sz w:val="20"/>
          <w:szCs w:val="20"/>
        </w:rPr>
      </w:r>
      <w:r/>
    </w:p>
    <w:sectPr>
      <w:headerReference w:type="first" r:id="rId9"/>
      <w:footerReference w:type="default" r:id="rId10"/>
      <w:footnotePr/>
      <w:endnotePr/>
      <w:type w:val="nextPage"/>
      <w:pgSz w:w="11900" w:h="16840" w:orient="portrait"/>
      <w:pgMar w:top="568" w:right="800" w:bottom="426" w:left="800" w:header="720" w:footer="40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right"/>
    </w:pPr>
    <w:r>
      <w:fldChar w:fldCharType="begin"/>
    </w:r>
    <w:r>
      <w:instrText xml:space="preserve">PAGE</w:instrText>
    </w:r>
    <w:r>
      <w:fldChar w:fldCharType="separate"/>
    </w:r>
    <w:r>
      <w:t xml:space="preserve">3</w:t>
    </w:r>
    <w:r>
      <w:fldChar w:fldCharType="end"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540" w:hanging="227"/>
        <w:tabs>
          <w:tab w:val="num" w:pos="540" w:leader="none"/>
        </w:tabs>
      </w:pPr>
      <w:rPr>
        <w:rFonts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eastAsia="Wingdings" w:cs="Wingdings"/>
      </w:rPr>
    </w:lvl>
  </w:abstractNum>
  <w:abstractNum w:abstractNumId="3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eastAsia="Wingdings" w:cs="Wingdings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74">
    <w:name w:val="Heading 1"/>
    <w:basedOn w:val="846"/>
    <w:next w:val="846"/>
    <w:link w:val="67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75">
    <w:name w:val="Heading 1 Char"/>
    <w:basedOn w:val="849"/>
    <w:link w:val="674"/>
    <w:uiPriority w:val="9"/>
    <w:rPr>
      <w:rFonts w:ascii="Arial" w:hAnsi="Arial" w:eastAsia="Arial" w:cs="Arial"/>
      <w:sz w:val="40"/>
      <w:szCs w:val="40"/>
    </w:rPr>
  </w:style>
  <w:style w:type="paragraph" w:styleId="676">
    <w:name w:val="Heading 2"/>
    <w:basedOn w:val="846"/>
    <w:next w:val="846"/>
    <w:link w:val="67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77">
    <w:name w:val="Heading 2 Char"/>
    <w:basedOn w:val="849"/>
    <w:link w:val="676"/>
    <w:uiPriority w:val="9"/>
    <w:rPr>
      <w:rFonts w:ascii="Arial" w:hAnsi="Arial" w:eastAsia="Arial" w:cs="Arial"/>
      <w:sz w:val="34"/>
    </w:rPr>
  </w:style>
  <w:style w:type="paragraph" w:styleId="678">
    <w:name w:val="Heading 3"/>
    <w:basedOn w:val="846"/>
    <w:next w:val="846"/>
    <w:link w:val="67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9">
    <w:name w:val="Heading 3 Char"/>
    <w:basedOn w:val="849"/>
    <w:link w:val="678"/>
    <w:uiPriority w:val="9"/>
    <w:rPr>
      <w:rFonts w:ascii="Arial" w:hAnsi="Arial" w:eastAsia="Arial" w:cs="Arial"/>
      <w:sz w:val="30"/>
      <w:szCs w:val="30"/>
    </w:rPr>
  </w:style>
  <w:style w:type="character" w:styleId="680">
    <w:name w:val="Heading 4 Char"/>
    <w:basedOn w:val="849"/>
    <w:link w:val="847"/>
    <w:uiPriority w:val="9"/>
    <w:rPr>
      <w:rFonts w:ascii="Arial" w:hAnsi="Arial" w:eastAsia="Arial" w:cs="Arial"/>
      <w:b/>
      <w:bCs/>
      <w:sz w:val="26"/>
      <w:szCs w:val="26"/>
    </w:rPr>
  </w:style>
  <w:style w:type="character" w:styleId="681">
    <w:name w:val="Heading 5 Char"/>
    <w:basedOn w:val="849"/>
    <w:link w:val="848"/>
    <w:uiPriority w:val="9"/>
    <w:rPr>
      <w:rFonts w:ascii="Arial" w:hAnsi="Arial" w:eastAsia="Arial" w:cs="Arial"/>
      <w:b/>
      <w:bCs/>
      <w:sz w:val="24"/>
      <w:szCs w:val="24"/>
    </w:rPr>
  </w:style>
  <w:style w:type="paragraph" w:styleId="682">
    <w:name w:val="Heading 6"/>
    <w:basedOn w:val="846"/>
    <w:next w:val="846"/>
    <w:link w:val="68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83">
    <w:name w:val="Heading 6 Char"/>
    <w:basedOn w:val="849"/>
    <w:link w:val="682"/>
    <w:uiPriority w:val="9"/>
    <w:rPr>
      <w:rFonts w:ascii="Arial" w:hAnsi="Arial" w:eastAsia="Arial" w:cs="Arial"/>
      <w:b/>
      <w:bCs/>
      <w:sz w:val="22"/>
      <w:szCs w:val="22"/>
    </w:rPr>
  </w:style>
  <w:style w:type="paragraph" w:styleId="684">
    <w:name w:val="Heading 7"/>
    <w:basedOn w:val="846"/>
    <w:next w:val="846"/>
    <w:link w:val="68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85">
    <w:name w:val="Heading 7 Char"/>
    <w:basedOn w:val="849"/>
    <w:link w:val="6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86">
    <w:name w:val="Heading 8"/>
    <w:basedOn w:val="846"/>
    <w:next w:val="846"/>
    <w:link w:val="68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7">
    <w:name w:val="Heading 8 Char"/>
    <w:basedOn w:val="849"/>
    <w:link w:val="686"/>
    <w:uiPriority w:val="9"/>
    <w:rPr>
      <w:rFonts w:ascii="Arial" w:hAnsi="Arial" w:eastAsia="Arial" w:cs="Arial"/>
      <w:i/>
      <w:iCs/>
      <w:sz w:val="22"/>
      <w:szCs w:val="22"/>
    </w:rPr>
  </w:style>
  <w:style w:type="paragraph" w:styleId="688">
    <w:name w:val="Heading 9"/>
    <w:basedOn w:val="846"/>
    <w:next w:val="846"/>
    <w:link w:val="68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9">
    <w:name w:val="Heading 9 Char"/>
    <w:basedOn w:val="849"/>
    <w:link w:val="688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Title"/>
    <w:basedOn w:val="846"/>
    <w:next w:val="846"/>
    <w:link w:val="69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91">
    <w:name w:val="Title Char"/>
    <w:basedOn w:val="849"/>
    <w:link w:val="690"/>
    <w:uiPriority w:val="10"/>
    <w:rPr>
      <w:sz w:val="48"/>
      <w:szCs w:val="48"/>
    </w:rPr>
  </w:style>
  <w:style w:type="paragraph" w:styleId="692">
    <w:name w:val="Subtitle"/>
    <w:basedOn w:val="846"/>
    <w:next w:val="846"/>
    <w:link w:val="693"/>
    <w:uiPriority w:val="11"/>
    <w:qFormat/>
    <w:pPr>
      <w:spacing w:before="200" w:after="200"/>
    </w:pPr>
    <w:rPr>
      <w:sz w:val="24"/>
      <w:szCs w:val="24"/>
    </w:rPr>
  </w:style>
  <w:style w:type="character" w:styleId="693">
    <w:name w:val="Subtitle Char"/>
    <w:basedOn w:val="849"/>
    <w:link w:val="692"/>
    <w:uiPriority w:val="11"/>
    <w:rPr>
      <w:sz w:val="24"/>
      <w:szCs w:val="24"/>
    </w:rPr>
  </w:style>
  <w:style w:type="paragraph" w:styleId="694">
    <w:name w:val="Quote"/>
    <w:basedOn w:val="846"/>
    <w:next w:val="846"/>
    <w:link w:val="695"/>
    <w:uiPriority w:val="29"/>
    <w:qFormat/>
    <w:pPr>
      <w:ind w:left="720" w:right="720"/>
    </w:pPr>
    <w:rPr>
      <w:i/>
    </w:rPr>
  </w:style>
  <w:style w:type="character" w:styleId="695">
    <w:name w:val="Quote Char"/>
    <w:link w:val="694"/>
    <w:uiPriority w:val="29"/>
    <w:rPr>
      <w:i/>
    </w:rPr>
  </w:style>
  <w:style w:type="paragraph" w:styleId="696">
    <w:name w:val="Intense Quote"/>
    <w:basedOn w:val="846"/>
    <w:next w:val="846"/>
    <w:link w:val="69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7">
    <w:name w:val="Intense Quote Char"/>
    <w:link w:val="696"/>
    <w:uiPriority w:val="30"/>
    <w:rPr>
      <w:i/>
    </w:rPr>
  </w:style>
  <w:style w:type="paragraph" w:styleId="698">
    <w:name w:val="Header"/>
    <w:basedOn w:val="846"/>
    <w:link w:val="69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>
    <w:name w:val="Header Char"/>
    <w:basedOn w:val="849"/>
    <w:link w:val="698"/>
    <w:uiPriority w:val="99"/>
  </w:style>
  <w:style w:type="paragraph" w:styleId="700">
    <w:name w:val="Footer"/>
    <w:basedOn w:val="846"/>
    <w:link w:val="70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1">
    <w:name w:val="Footer Char"/>
    <w:basedOn w:val="849"/>
    <w:link w:val="700"/>
    <w:uiPriority w:val="99"/>
  </w:style>
  <w:style w:type="paragraph" w:styleId="702">
    <w:name w:val="Caption"/>
    <w:basedOn w:val="846"/>
    <w:next w:val="84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03">
    <w:name w:val="Caption Char"/>
    <w:basedOn w:val="702"/>
    <w:link w:val="700"/>
    <w:uiPriority w:val="99"/>
  </w:style>
  <w:style w:type="table" w:styleId="704">
    <w:name w:val="Table Grid Light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05">
    <w:name w:val="Plain Table 1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>
    <w:name w:val="Plain Table 2"/>
    <w:basedOn w:val="85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8">
    <w:name w:val="Plain Table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Plain Table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0">
    <w:name w:val="Grid Table 1 Light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1 Light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1 Light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>
    <w:name w:val="Grid Table 1 Light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1 Light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1 Light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Grid Table 1 Light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Grid Table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2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2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2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2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2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2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3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3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3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3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3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4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2">
    <w:name w:val="Grid Table 4 - Accent 1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33">
    <w:name w:val="Grid Table 4 - Accent 2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34">
    <w:name w:val="Grid Table 4 - Accent 3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35">
    <w:name w:val="Grid Table 4 - Accent 4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6">
    <w:name w:val="Grid Table 4 - Accent 5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7">
    <w:name w:val="Grid Table 4 - Accent 6"/>
    <w:basedOn w:val="85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8">
    <w:name w:val="Grid Table 5 Dark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9">
    <w:name w:val="Grid Table 5 Dark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40">
    <w:name w:val="Grid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41">
    <w:name w:val="Grid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42">
    <w:name w:val="Grid Table 5 Dark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43">
    <w:name w:val="Grid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44">
    <w:name w:val="Grid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45">
    <w:name w:val="Grid Table 6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6">
    <w:name w:val="Grid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7">
    <w:name w:val="Grid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8">
    <w:name w:val="Grid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9">
    <w:name w:val="Grid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50">
    <w:name w:val="Grid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1">
    <w:name w:val="Grid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52">
    <w:name w:val="Grid Table 7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Grid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Grid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Grid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Grid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Grid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1 Light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1 Light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>
    <w:name w:val="List Table 1 Light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1 Light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1 Light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List Table 1 Light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List Table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7">
    <w:name w:val="List Table 2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8">
    <w:name w:val="List Table 2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9">
    <w:name w:val="List Table 2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70">
    <w:name w:val="List Table 2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71">
    <w:name w:val="List Table 2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72">
    <w:name w:val="List Table 2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73">
    <w:name w:val="List Table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3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3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3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3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3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3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4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>
    <w:name w:val="List Table 4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4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4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4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5 Dark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5 Dark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9">
    <w:name w:val="List Table 5 Dark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0">
    <w:name w:val="List Table 5 Dark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1">
    <w:name w:val="List Table 5 Dark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2">
    <w:name w:val="List Table 5 Dark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3">
    <w:name w:val="List Table 5 Dark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4">
    <w:name w:val="List Table 6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95">
    <w:name w:val="List Table 6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6">
    <w:name w:val="List Table 6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7">
    <w:name w:val="List Table 6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8">
    <w:name w:val="List Table 6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9">
    <w:name w:val="List Table 6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00">
    <w:name w:val="List Table 6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01">
    <w:name w:val="List Table 7 Colorful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02">
    <w:name w:val="List Table 7 Colorful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803">
    <w:name w:val="List Table 7 Colorful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804">
    <w:name w:val="List Table 7 Colorful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805">
    <w:name w:val="List Table 7 Colorful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806">
    <w:name w:val="List Table 7 Colorful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807">
    <w:name w:val="List Table 7 Colorful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808">
    <w:name w:val="Lined - Accent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Lined - Accent 1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0">
    <w:name w:val="Lined - Accent 2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1">
    <w:name w:val="Lined - Accent 3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2">
    <w:name w:val="Lined - Accent 4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13">
    <w:name w:val="Lined - Accent 5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4">
    <w:name w:val="Lined - Accent 6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5">
    <w:name w:val="Bordered &amp; Lined - Accent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6">
    <w:name w:val="Bordered &amp; Lined - Accent 1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17">
    <w:name w:val="Bordered &amp; Lined - Accent 2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18">
    <w:name w:val="Bordered &amp; Lined - Accent 3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19">
    <w:name w:val="Bordered &amp; Lined - Accent 4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20">
    <w:name w:val="Bordered &amp; Lined - Accent 5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21">
    <w:name w:val="Bordered &amp; Lined - Accent 6"/>
    <w:basedOn w:val="85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22">
    <w:name w:val="Bordered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23">
    <w:name w:val="Bordered - Accent 1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24">
    <w:name w:val="Bordered - Accent 2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25">
    <w:name w:val="Bordered - Accent 3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6">
    <w:name w:val="Bordered - Accent 4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7">
    <w:name w:val="Bordered - Accent 5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8">
    <w:name w:val="Bordered - Accent 6"/>
    <w:basedOn w:val="85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9">
    <w:name w:val="footnote text"/>
    <w:basedOn w:val="846"/>
    <w:link w:val="830"/>
    <w:uiPriority w:val="99"/>
    <w:semiHidden/>
    <w:unhideWhenUsed/>
    <w:pPr>
      <w:spacing w:after="40" w:line="240" w:lineRule="auto"/>
    </w:pPr>
    <w:rPr>
      <w:sz w:val="18"/>
    </w:rPr>
  </w:style>
  <w:style w:type="character" w:styleId="830">
    <w:name w:val="Footnote Text Char"/>
    <w:link w:val="829"/>
    <w:uiPriority w:val="99"/>
    <w:rPr>
      <w:sz w:val="18"/>
    </w:rPr>
  </w:style>
  <w:style w:type="character" w:styleId="831">
    <w:name w:val="footnote reference"/>
    <w:basedOn w:val="849"/>
    <w:uiPriority w:val="99"/>
    <w:unhideWhenUsed/>
    <w:rPr>
      <w:vertAlign w:val="superscript"/>
    </w:rPr>
  </w:style>
  <w:style w:type="paragraph" w:styleId="832">
    <w:name w:val="endnote text"/>
    <w:basedOn w:val="846"/>
    <w:link w:val="833"/>
    <w:uiPriority w:val="99"/>
    <w:semiHidden/>
    <w:unhideWhenUsed/>
    <w:pPr>
      <w:spacing w:after="0" w:line="240" w:lineRule="auto"/>
    </w:pPr>
    <w:rPr>
      <w:sz w:val="20"/>
    </w:rPr>
  </w:style>
  <w:style w:type="character" w:styleId="833">
    <w:name w:val="Endnote Text Char"/>
    <w:link w:val="832"/>
    <w:uiPriority w:val="99"/>
    <w:rPr>
      <w:sz w:val="20"/>
    </w:rPr>
  </w:style>
  <w:style w:type="character" w:styleId="834">
    <w:name w:val="endnote reference"/>
    <w:basedOn w:val="849"/>
    <w:uiPriority w:val="99"/>
    <w:semiHidden/>
    <w:unhideWhenUsed/>
    <w:rPr>
      <w:vertAlign w:val="superscript"/>
    </w:rPr>
  </w:style>
  <w:style w:type="paragraph" w:styleId="835">
    <w:name w:val="toc 1"/>
    <w:basedOn w:val="846"/>
    <w:next w:val="846"/>
    <w:uiPriority w:val="39"/>
    <w:unhideWhenUsed/>
    <w:pPr>
      <w:ind w:left="0" w:right="0" w:firstLine="0"/>
      <w:spacing w:after="57"/>
    </w:pPr>
  </w:style>
  <w:style w:type="paragraph" w:styleId="836">
    <w:name w:val="toc 2"/>
    <w:basedOn w:val="846"/>
    <w:next w:val="846"/>
    <w:uiPriority w:val="39"/>
    <w:unhideWhenUsed/>
    <w:pPr>
      <w:ind w:left="283" w:right="0" w:firstLine="0"/>
      <w:spacing w:after="57"/>
    </w:pPr>
  </w:style>
  <w:style w:type="paragraph" w:styleId="837">
    <w:name w:val="toc 3"/>
    <w:basedOn w:val="846"/>
    <w:next w:val="846"/>
    <w:uiPriority w:val="39"/>
    <w:unhideWhenUsed/>
    <w:pPr>
      <w:ind w:left="567" w:right="0" w:firstLine="0"/>
      <w:spacing w:after="57"/>
    </w:pPr>
  </w:style>
  <w:style w:type="paragraph" w:styleId="838">
    <w:name w:val="toc 4"/>
    <w:basedOn w:val="846"/>
    <w:next w:val="846"/>
    <w:uiPriority w:val="39"/>
    <w:unhideWhenUsed/>
    <w:pPr>
      <w:ind w:left="850" w:right="0" w:firstLine="0"/>
      <w:spacing w:after="57"/>
    </w:pPr>
  </w:style>
  <w:style w:type="paragraph" w:styleId="839">
    <w:name w:val="toc 5"/>
    <w:basedOn w:val="846"/>
    <w:next w:val="846"/>
    <w:uiPriority w:val="39"/>
    <w:unhideWhenUsed/>
    <w:pPr>
      <w:ind w:left="1134" w:right="0" w:firstLine="0"/>
      <w:spacing w:after="57"/>
    </w:pPr>
  </w:style>
  <w:style w:type="paragraph" w:styleId="840">
    <w:name w:val="toc 6"/>
    <w:basedOn w:val="846"/>
    <w:next w:val="846"/>
    <w:uiPriority w:val="39"/>
    <w:unhideWhenUsed/>
    <w:pPr>
      <w:ind w:left="1417" w:right="0" w:firstLine="0"/>
      <w:spacing w:after="57"/>
    </w:pPr>
  </w:style>
  <w:style w:type="paragraph" w:styleId="841">
    <w:name w:val="toc 7"/>
    <w:basedOn w:val="846"/>
    <w:next w:val="846"/>
    <w:uiPriority w:val="39"/>
    <w:unhideWhenUsed/>
    <w:pPr>
      <w:ind w:left="1701" w:right="0" w:firstLine="0"/>
      <w:spacing w:after="57"/>
    </w:pPr>
  </w:style>
  <w:style w:type="paragraph" w:styleId="842">
    <w:name w:val="toc 8"/>
    <w:basedOn w:val="846"/>
    <w:next w:val="846"/>
    <w:uiPriority w:val="39"/>
    <w:unhideWhenUsed/>
    <w:pPr>
      <w:ind w:left="1984" w:right="0" w:firstLine="0"/>
      <w:spacing w:after="57"/>
    </w:pPr>
  </w:style>
  <w:style w:type="paragraph" w:styleId="843">
    <w:name w:val="toc 9"/>
    <w:basedOn w:val="846"/>
    <w:next w:val="846"/>
    <w:uiPriority w:val="39"/>
    <w:unhideWhenUsed/>
    <w:pPr>
      <w:ind w:left="2268" w:right="0" w:firstLine="0"/>
      <w:spacing w:after="57"/>
    </w:pPr>
  </w:style>
  <w:style w:type="paragraph" w:styleId="844">
    <w:name w:val="TOC Heading"/>
    <w:uiPriority w:val="39"/>
    <w:unhideWhenUsed/>
  </w:style>
  <w:style w:type="paragraph" w:styleId="845">
    <w:name w:val="table of figures"/>
    <w:basedOn w:val="846"/>
    <w:next w:val="846"/>
    <w:uiPriority w:val="99"/>
    <w:unhideWhenUsed/>
    <w:pPr>
      <w:spacing w:after="0" w:afterAutospacing="0"/>
    </w:pPr>
  </w:style>
  <w:style w:type="paragraph" w:styleId="846" w:default="1">
    <w:name w:val="Normal"/>
    <w:qFormat/>
  </w:style>
  <w:style w:type="paragraph" w:styleId="847">
    <w:name w:val="Heading 4"/>
    <w:basedOn w:val="846"/>
    <w:next w:val="846"/>
    <w:link w:val="85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848">
    <w:name w:val="Heading 5"/>
    <w:basedOn w:val="846"/>
    <w:next w:val="846"/>
    <w:link w:val="857"/>
    <w:qFormat/>
    <w:pPr>
      <w:jc w:val="center"/>
      <w:keepNext/>
      <w:spacing w:after="0" w:line="240" w:lineRule="auto"/>
      <w:outlineLvl w:val="4"/>
    </w:pPr>
    <w:rPr>
      <w:rFonts w:ascii="Times New Roman" w:hAnsi="Times New Roman" w:eastAsia="Times New Roman" w:cs="Times New Roman"/>
      <w:b/>
      <w:sz w:val="28"/>
      <w:szCs w:val="20"/>
    </w:rPr>
  </w:style>
  <w:style w:type="character" w:styleId="849" w:default="1">
    <w:name w:val="Default Paragraph Font"/>
    <w:uiPriority w:val="1"/>
    <w:semiHidden/>
    <w:unhideWhenUsed/>
  </w:style>
  <w:style w:type="table" w:styleId="85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51" w:default="1">
    <w:name w:val="No List"/>
    <w:uiPriority w:val="99"/>
    <w:semiHidden/>
    <w:unhideWhenUsed/>
  </w:style>
  <w:style w:type="paragraph" w:styleId="852">
    <w:name w:val="Balloon Text"/>
    <w:basedOn w:val="846"/>
    <w:link w:val="853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3" w:customStyle="1">
    <w:name w:val="Текст выноски Знак"/>
    <w:basedOn w:val="849"/>
    <w:link w:val="852"/>
    <w:uiPriority w:val="99"/>
    <w:semiHidden/>
    <w:rPr>
      <w:rFonts w:ascii="Segoe UI" w:hAnsi="Segoe UI" w:cs="Segoe UI"/>
      <w:sz w:val="18"/>
      <w:szCs w:val="18"/>
    </w:rPr>
  </w:style>
  <w:style w:type="paragraph" w:styleId="854">
    <w:name w:val="List Paragraph"/>
    <w:basedOn w:val="846"/>
    <w:uiPriority w:val="34"/>
    <w:qFormat/>
    <w:pPr>
      <w:contextualSpacing/>
      <w:ind w:left="720"/>
    </w:pPr>
  </w:style>
  <w:style w:type="paragraph" w:styleId="855">
    <w:name w:val="No Spacing"/>
    <w:uiPriority w:val="1"/>
    <w:qFormat/>
    <w:pPr>
      <w:spacing w:after="0" w:line="240" w:lineRule="auto"/>
    </w:pPr>
  </w:style>
  <w:style w:type="paragraph" w:styleId="856" w:customStyle="1">
    <w:name w:val="docdata"/>
    <w:basedOn w:val="84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857" w:customStyle="1">
    <w:name w:val="Заголовок 5 Знак"/>
    <w:basedOn w:val="849"/>
    <w:link w:val="848"/>
    <w:uiPriority w:val="9"/>
    <w:rPr>
      <w:rFonts w:ascii="Times New Roman" w:hAnsi="Times New Roman" w:eastAsia="Times New Roman" w:cs="Times New Roman"/>
      <w:b/>
      <w:sz w:val="28"/>
      <w:szCs w:val="20"/>
    </w:rPr>
  </w:style>
  <w:style w:type="table" w:styleId="858">
    <w:name w:val="Table Grid"/>
    <w:basedOn w:val="850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59" w:customStyle="1">
    <w:name w:val="Заголовок 4 Знак"/>
    <w:basedOn w:val="849"/>
    <w:link w:val="847"/>
    <w:uiPriority w:val="9"/>
    <w:rPr>
      <w:rFonts w:ascii="Arial" w:hAnsi="Arial" w:eastAsia="Arial" w:cs="Arial"/>
      <w:b/>
      <w:bCs/>
      <w:sz w:val="26"/>
      <w:szCs w:val="26"/>
    </w:rPr>
  </w:style>
  <w:style w:type="character" w:styleId="860">
    <w:name w:val="Hyperlink"/>
    <w:basedOn w:val="849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revision>11</cp:revision>
  <dcterms:created xsi:type="dcterms:W3CDTF">2024-10-22T06:56:00Z</dcterms:created>
  <dcterms:modified xsi:type="dcterms:W3CDTF">2024-11-14T12:24:09Z</dcterms:modified>
</cp:coreProperties>
</file>