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Инструкция по работе со счетами заказчика</w:t>
      </w:r>
      <w:r/>
    </w:p>
    <w:p>
      <w:pPr>
        <w:pStyle w:val="764"/>
        <w:rPr>
          <w:rFonts w:asciiTheme="minorHAnsi" w:hAnsiTheme="minorHAnsi" w:eastAsiaTheme="minorEastAsia" w:cstheme="minorBidi"/>
          <w:smallCaps w:val="0"/>
          <w:sz w:val="22"/>
          <w:szCs w:val="22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TOC \o "1-1" \h \z \t "Заголовок 2;2;Заголовок 3;3;Заголовок 4;4;Заголовок 5;5;Заголовок 1 (КС);1;Заголовок 4 (КС);4;Приложение (КС);6;Заголовок 2 (КС);2;Заголовок 3 (КС);3;Заголовок 5 (КС);5" </w:instrText>
      </w:r>
      <w:r>
        <w:rPr>
          <w:sz w:val="24"/>
          <w:szCs w:val="24"/>
        </w:rPr>
        <w:fldChar w:fldCharType="separate"/>
      </w:r>
      <w:hyperlink w:tooltip="#_Toc119152853" w:anchor="_Toc119152853" w:history="1">
        <w:r>
          <w:rPr>
            <w:rStyle w:val="631"/>
            <w:rFonts w:eastAsiaTheme="majorEastAsia"/>
          </w:rPr>
          <w:t xml:space="preserve">1. Новый формат ввода платежных реквизитов.</w:t>
        </w:r>
        <w:r>
          <w:tab/>
        </w:r>
        <w:r>
          <w:fldChar w:fldCharType="begin"/>
        </w:r>
        <w:r>
          <w:instrText xml:space="preserve"> PAGEREF _Toc119152853 \h </w:instrText>
        </w:r>
        <w:r>
          <w:fldChar w:fldCharType="separate"/>
        </w:r>
        <w:r>
          <w:t xml:space="preserve">1</w:t>
        </w:r>
        <w:r>
          <w:fldChar w:fldCharType="end"/>
        </w:r>
      </w:hyperlink>
      <w:r/>
      <w:r/>
    </w:p>
    <w:p>
      <w:pPr>
        <w:pStyle w:val="764"/>
        <w:rPr>
          <w:rFonts w:asciiTheme="minorHAnsi" w:hAnsiTheme="minorHAnsi" w:eastAsiaTheme="minorEastAsia" w:cstheme="minorBidi"/>
          <w:smallCaps w:val="0"/>
          <w:sz w:val="22"/>
          <w:szCs w:val="22"/>
        </w:rPr>
      </w:pPr>
      <w:r/>
      <w:hyperlink w:tooltip="#_Toc119152854" w:anchor="_Toc119152854" w:history="1">
        <w:r>
          <w:rPr>
            <w:rStyle w:val="631"/>
            <w:rFonts w:eastAsiaTheme="majorEastAsia"/>
          </w:rPr>
          <w:t xml:space="preserve">2. Подход к работе с платежными реквизитами в сведениях о заключенном контракте</w:t>
        </w:r>
        <w:r>
          <w:tab/>
        </w:r>
        <w:r>
          <w:fldChar w:fldCharType="begin"/>
        </w:r>
        <w:r>
          <w:instrText xml:space="preserve"> PAGEREF _Toc119152854 \h </w:instrText>
        </w:r>
        <w:r>
          <w:fldChar w:fldCharType="separate"/>
        </w:r>
        <w:r>
          <w:t xml:space="preserve">2</w:t>
        </w:r>
        <w:r>
          <w:fldChar w:fldCharType="end"/>
        </w:r>
      </w:hyperlink>
      <w:r/>
      <w:r/>
    </w:p>
    <w:p>
      <w:pPr>
        <w:pStyle w:val="764"/>
        <w:rPr>
          <w:rFonts w:asciiTheme="minorHAnsi" w:hAnsiTheme="minorHAnsi" w:eastAsiaTheme="minorEastAsia" w:cstheme="minorBidi"/>
          <w:smallCaps w:val="0"/>
          <w:sz w:val="22"/>
          <w:szCs w:val="22"/>
        </w:rPr>
      </w:pPr>
      <w:r/>
      <w:hyperlink w:tooltip="#_Toc119152855" w:anchor="_Toc119152855" w:history="1">
        <w:r>
          <w:rPr>
            <w:rStyle w:val="631"/>
            <w:rFonts w:eastAsiaTheme="majorEastAsia"/>
          </w:rPr>
          <w:t xml:space="preserve">3. Инфраструктурная </w:t>
        </w:r>
        <w:r>
          <w:rPr>
            <w:rStyle w:val="631"/>
            <w:rFonts w:eastAsiaTheme="majorEastAsia"/>
          </w:rPr>
          <w:t xml:space="preserve">о</w:t>
        </w:r>
        <w:r>
          <w:rPr>
            <w:rStyle w:val="631"/>
            <w:rFonts w:eastAsiaTheme="majorEastAsia"/>
          </w:rPr>
          <w:t xml:space="preserve">шибка ЕИС при неактуальном БИК</w:t>
        </w:r>
        <w:r>
          <w:tab/>
        </w:r>
        <w:r>
          <w:fldChar w:fldCharType="begin"/>
        </w:r>
        <w:r>
          <w:instrText xml:space="preserve"> PAGEREF _Toc119152855 \h </w:instrText>
        </w:r>
        <w:r>
          <w:fldChar w:fldCharType="separate"/>
        </w:r>
        <w:r>
          <w:t xml:space="preserve">4</w:t>
        </w:r>
        <w:r>
          <w:fldChar w:fldCharType="end"/>
        </w:r>
      </w:hyperlink>
      <w:r/>
      <w:r/>
    </w:p>
    <w:p>
      <w:pPr>
        <w:pStyle w:val="764"/>
        <w:rPr>
          <w:rFonts w:asciiTheme="minorHAnsi" w:hAnsiTheme="minorHAnsi" w:eastAsiaTheme="minorEastAsia" w:cstheme="minorBidi"/>
          <w:smallCaps w:val="0"/>
          <w:sz w:val="22"/>
          <w:szCs w:val="22"/>
        </w:rPr>
      </w:pPr>
      <w:r/>
      <w:hyperlink w:tooltip="#_Toc119152856" w:anchor="_Toc119152856" w:history="1">
        <w:r>
          <w:rPr>
            <w:rStyle w:val="631"/>
            <w:rFonts w:eastAsiaTheme="majorEastAsia"/>
          </w:rPr>
          <w:t xml:space="preserve">4. Неактуальное состояние счетов в ЕИС</w:t>
        </w:r>
        <w:r>
          <w:tab/>
        </w:r>
        <w:r>
          <w:fldChar w:fldCharType="begin"/>
        </w:r>
        <w:r>
          <w:instrText xml:space="preserve"> PAGEREF _Toc119152856 \h </w:instrText>
        </w:r>
        <w:r>
          <w:fldChar w:fldCharType="separate"/>
        </w:r>
        <w:r>
          <w:t xml:space="preserve">5</w:t>
        </w:r>
        <w:r>
          <w:fldChar w:fldCharType="end"/>
        </w:r>
      </w:hyperlink>
      <w:r/>
      <w:r/>
    </w:p>
    <w:p>
      <w:pPr>
        <w:pStyle w:val="764"/>
        <w:rPr>
          <w:rFonts w:asciiTheme="minorHAnsi" w:hAnsiTheme="minorHAnsi" w:eastAsiaTheme="minorEastAsia" w:cstheme="minorBidi"/>
          <w:smallCaps w:val="0"/>
          <w:sz w:val="22"/>
          <w:szCs w:val="22"/>
        </w:rPr>
      </w:pPr>
      <w:r/>
      <w:hyperlink w:tooltip="#_Toc119152857" w:anchor="_Toc119152857" w:history="1">
        <w:r>
          <w:rPr>
            <w:rStyle w:val="631"/>
            <w:rFonts w:eastAsiaTheme="majorEastAsia"/>
          </w:rPr>
          <w:t xml:space="preserve">5. Возможные про</w:t>
        </w:r>
        <w:r>
          <w:rPr>
            <w:rStyle w:val="631"/>
            <w:rFonts w:eastAsiaTheme="majorEastAsia"/>
          </w:rPr>
          <w:t xml:space="preserve">б</w:t>
        </w:r>
        <w:r>
          <w:rPr>
            <w:rStyle w:val="631"/>
            <w:rFonts w:eastAsiaTheme="majorEastAsia"/>
          </w:rPr>
          <w:t xml:space="preserve">лемы со счетами поставщиков</w:t>
        </w:r>
        <w:r>
          <w:tab/>
        </w:r>
        <w:r>
          <w:fldChar w:fldCharType="begin"/>
        </w:r>
        <w:r>
          <w:instrText xml:space="preserve"> PAGEREF _Toc119152857 \h </w:instrText>
        </w:r>
        <w:r>
          <w:fldChar w:fldCharType="separate"/>
        </w:r>
        <w:r>
          <w:t xml:space="preserve">5</w:t>
        </w:r>
        <w:r>
          <w:fldChar w:fldCharType="end"/>
        </w:r>
      </w:hyperlink>
      <w:r/>
      <w:r/>
    </w:p>
    <w:p>
      <w:pPr>
        <w:pStyle w:val="763"/>
        <w:rPr>
          <w:b/>
          <w:sz w:val="28"/>
        </w:rPr>
      </w:pPr>
      <w:r>
        <w:rPr>
          <w:caps/>
          <w:smallCaps/>
        </w:rPr>
        <w:fldChar w:fldCharType="end"/>
      </w:r>
      <w:r/>
    </w:p>
    <w:p>
      <w:pPr>
        <w:pStyle w:val="822"/>
        <w:ind w:left="1440" w:hanging="720"/>
        <w:tabs>
          <w:tab w:val="num" w:pos="1440" w:leader="none"/>
        </w:tabs>
      </w:pPr>
      <w:r/>
      <w:bookmarkStart w:id="0" w:name="_Toc119152853"/>
      <w:r>
        <w:t xml:space="preserve">1. </w:t>
      </w:r>
      <w:r>
        <w:t xml:space="preserve">Новый формат ввода платежных реквизитов.</w:t>
      </w:r>
      <w:bookmarkEnd w:id="0"/>
      <w:r/>
      <w:r/>
    </w:p>
    <w:p>
      <w:pPr>
        <w:ind w:firstLine="709"/>
        <w:jc w:val="both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Просим обратить внимание, что с 13.11.2022 формат ввода платежных реквизитов поставщиков и заказчиков в сведениях о заключенном контракте изменится в соответствии с инструкцией. Ссылка на инструкцию: </w:t>
      </w:r>
      <w:hyperlink r:id="rId10" w:tooltip="https://helpgz.keysystems.ru/ru/complex-operations/2-13-gk-form-and-exec-control/2-13-1-formirovanie-kontrakta/sozdanie-kontrakta-iz-lota-izvesheniya#ris-32" w:history="1">
        <w:r>
          <w:rPr>
            <w:rStyle w:val="631"/>
            <w:rFonts w:ascii="Times New Roman" w:hAnsi="Times New Roman" w:cs="Times New Roman"/>
            <w:sz w:val="24"/>
            <w:szCs w:val="24"/>
          </w:rPr>
          <w:t xml:space="preserve">https://helpgz.keysystems.ru/ru/complex-operations/2-13-gk-form-and-exec-control/2-13-1-formirovanie-kontrakta/sozdanie-kontrakta-iz-lota-izvesheniya#ris-32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ввода </w:t>
      </w:r>
      <w:r>
        <w:rPr>
          <w:rFonts w:ascii="Times New Roman" w:hAnsi="Times New Roman" w:cs="Times New Roman"/>
          <w:sz w:val="24"/>
          <w:szCs w:val="24"/>
        </w:rPr>
        <w:t xml:space="preserve">банковских </w:t>
      </w:r>
      <w:r>
        <w:rPr>
          <w:rFonts w:ascii="Times New Roman" w:hAnsi="Times New Roman" w:cs="Times New Roman"/>
          <w:sz w:val="24"/>
          <w:szCs w:val="24"/>
        </w:rPr>
        <w:t xml:space="preserve">реквизитов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старом интерфейсе</w:t>
      </w:r>
      <w:r>
        <w:rPr>
          <w:rFonts w:ascii="Times New Roman" w:hAnsi="Times New Roman" w:cs="Times New Roman"/>
          <w:sz w:val="24"/>
          <w:szCs w:val="24"/>
        </w:rPr>
        <w:t xml:space="preserve"> будет выглядеть как показано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_Ref119149533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 xml:space="preserve">Рисунок 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4521835"/>
                <wp:effectExtent l="0" t="0" r="3175" b="0"/>
                <wp:docPr id="1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3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940425" cy="4521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8pt;height:356.0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635"/>
        <w:jc w:val="center"/>
        <w:spacing w:before="120" w:after="120"/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</w:pPr>
      <w:r/>
      <w:bookmarkStart w:id="1" w:name="_Ref119149533"/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t xml:space="preserve">Рисунок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instrText xml:space="preserve"> SEQ Рисунок \* ARABIC </w:instrTex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fldChar w:fldCharType="end"/>
      </w:r>
      <w:bookmarkEnd w:id="1"/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t xml:space="preserve">Вкладка «Платежные реквизиты»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t xml:space="preserve">старом интерфейсе</w:t>
      </w:r>
      <w:r/>
    </w:p>
    <w:p>
      <w:pPr>
        <w:ind w:firstLine="709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ввода банковских реквизитов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новом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интерфейсе</w:t>
      </w:r>
      <w:r>
        <w:rPr>
          <w:rFonts w:ascii="Times New Roman" w:hAnsi="Times New Roman" w:cs="Times New Roman"/>
          <w:sz w:val="24"/>
          <w:szCs w:val="24"/>
        </w:rPr>
        <w:t xml:space="preserve"> будет выглядеть как показано на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_Ref119152488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 xml:space="preserve">Рисунк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845435"/>
                <wp:effectExtent l="0" t="0" r="3175" b="0"/>
                <wp:docPr id="2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4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5" cy="2845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8pt;height:224.0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pStyle w:val="635"/>
        <w:jc w:val="center"/>
        <w:spacing w:before="120" w:after="120"/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</w:pPr>
      <w:r/>
      <w:bookmarkStart w:id="2" w:name="_Ref119152488"/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t xml:space="preserve">Рисунок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instrText xml:space="preserve"> SEQ Рисунок \* ARABIC </w:instrTex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fldChar w:fldCharType="end"/>
      </w:r>
      <w:bookmarkEnd w:id="2"/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t xml:space="preserve">Вкладка «Платежные реквизиты»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t xml:space="preserve">в новом интерфейсе</w:t>
      </w:r>
      <w:r/>
    </w:p>
    <w:p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ранее введенные значения будут переведены на новый формат.</w:t>
      </w:r>
      <w:r/>
    </w:p>
    <w:p>
      <w:pPr>
        <w:pStyle w:val="822"/>
        <w:ind w:left="1440" w:hanging="720"/>
        <w:tabs>
          <w:tab w:val="num" w:pos="1440" w:leader="none"/>
        </w:tabs>
      </w:pPr>
      <w:r/>
      <w:bookmarkStart w:id="3" w:name="_Toc119152854"/>
      <w:r>
        <w:t xml:space="preserve">2. </w:t>
      </w:r>
      <w:r>
        <w:t xml:space="preserve">Подход к работе с платежными реквизитами в сведениях о заключенном контракте</w:t>
      </w:r>
      <w:bookmarkEnd w:id="3"/>
      <w:r/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данный момент наблюдается большое количество ошибок при отправке сведени</w:t>
      </w:r>
      <w:r>
        <w:rPr>
          <w:rFonts w:ascii="Times New Roman" w:hAnsi="Times New Roman" w:cs="Times New Roman"/>
          <w:sz w:val="24"/>
          <w:szCs w:val="24"/>
        </w:rPr>
        <w:t xml:space="preserve">й о</w:t>
      </w:r>
      <w:r>
        <w:rPr>
          <w:rFonts w:ascii="Times New Roman" w:hAnsi="Times New Roman" w:cs="Times New Roman"/>
          <w:sz w:val="24"/>
          <w:szCs w:val="24"/>
        </w:rPr>
        <w:t xml:space="preserve"> заключенном контракте в ЕИС следующего содержания:</w:t>
      </w:r>
      <w:r/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color w:val="000000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color w:val="000000"/>
          <w:sz w:val="24"/>
          <w:szCs w:val="24"/>
          <w:lang w:eastAsia="ru-RU"/>
        </w:rPr>
        <w:t xml:space="preserve">APK_3890_1153. На вкладке «Платежные реквизиты» в блоке «Реквизиты счета заказчика» должны быть указаны реквизиты открытого в установленном порядке в Федеральном казначействе лицевого счета получателя бюджетных средств.</w:t>
      </w:r>
      <w:r/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color w:val="000000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color w:val="000000"/>
          <w:sz w:val="24"/>
          <w:szCs w:val="24"/>
          <w:lang w:eastAsia="ru-RU"/>
        </w:rPr>
      </w:r>
      <w:r/>
    </w:p>
    <w:p>
      <w:pPr>
        <w:pStyle w:val="63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APK_3890_1164. На вкладке «Платежные реквизиты» указан некорректный номер банковского счета: </w:t>
      </w:r>
      <w:r>
        <w:rPr>
          <w:color w:val="000000"/>
          <w:sz w:val="24"/>
          <w:szCs w:val="24"/>
        </w:rPr>
        <w:t xml:space="preserve">«</w:t>
      </w:r>
      <w:r>
        <w:rPr>
          <w:color w:val="000000"/>
          <w:sz w:val="24"/>
          <w:szCs w:val="24"/>
        </w:rPr>
        <w:t xml:space="preserve">казначейский_счет</w:t>
      </w:r>
      <w:r>
        <w:rPr>
          <w:color w:val="000000"/>
          <w:sz w:val="24"/>
          <w:szCs w:val="24"/>
        </w:rPr>
        <w:t xml:space="preserve">»</w:t>
      </w:r>
      <w:r>
        <w:rPr>
          <w:color w:val="000000"/>
          <w:sz w:val="24"/>
          <w:szCs w:val="24"/>
        </w:rPr>
        <w:t xml:space="preserve">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Хотели бы уточнить несколько моментов: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) если заказчик не обслуживается на счетах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казначейства (далее – </w:t>
      </w:r>
      <w:r>
        <w:rPr>
          <w:rFonts w:ascii="Times New Roman" w:hAnsi="Times New Roman" w:cs="Times New Roman"/>
          <w:sz w:val="24"/>
          <w:szCs w:val="24"/>
        </w:rPr>
        <w:t xml:space="preserve">ФК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, то указание реквизитов из пункта 1 данной брошюры не обязательны. Более того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наша рекомендация: не заполнять данные реквизиты во </w:t>
      </w:r>
      <w:r>
        <w:rPr>
          <w:rFonts w:ascii="Times New Roman" w:hAnsi="Times New Roman" w:cs="Times New Roman"/>
          <w:sz w:val="24"/>
          <w:szCs w:val="24"/>
        </w:rPr>
        <w:t xml:space="preserve">избежании</w:t>
      </w:r>
      <w:r>
        <w:rPr>
          <w:rFonts w:ascii="Times New Roman" w:hAnsi="Times New Roman" w:cs="Times New Roman"/>
          <w:sz w:val="24"/>
          <w:szCs w:val="24"/>
        </w:rPr>
        <w:t xml:space="preserve"> ошибок при интеграции с ЕИС;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) если же заказчик</w:t>
      </w:r>
      <w:r>
        <w:rPr>
          <w:rFonts w:ascii="Times New Roman" w:hAnsi="Times New Roman" w:cs="Times New Roman"/>
          <w:sz w:val="24"/>
          <w:szCs w:val="24"/>
        </w:rPr>
        <w:t xml:space="preserve"> обслуживается на счетах ФК, то </w:t>
      </w:r>
      <w:r>
        <w:rPr>
          <w:rFonts w:ascii="Times New Roman" w:hAnsi="Times New Roman" w:cs="Times New Roman"/>
          <w:sz w:val="24"/>
          <w:szCs w:val="24"/>
        </w:rPr>
        <w:t xml:space="preserve">отправка платежных реквизитов обязательна. С</w:t>
      </w:r>
      <w:r>
        <w:rPr>
          <w:rFonts w:ascii="Times New Roman" w:hAnsi="Times New Roman" w:cs="Times New Roman"/>
          <w:sz w:val="24"/>
          <w:szCs w:val="24"/>
        </w:rPr>
        <w:t xml:space="preserve">ведения о счетах заказчика в региональные информационные системы (далее – РИС) загружаются </w:t>
      </w:r>
      <w:r>
        <w:rPr>
          <w:rFonts w:ascii="Times New Roman" w:hAnsi="Times New Roman" w:cs="Times New Roman"/>
          <w:sz w:val="24"/>
          <w:szCs w:val="24"/>
        </w:rPr>
        <w:t xml:space="preserve"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справочника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ЕИС. Бывают ситуации, когда нужных счетов заказчика не обнаруживается: это говорит о том, что счетов в справочнике организации в ЕИС нет. В таком случае заказчики вынуждены обращаться в </w:t>
      </w:r>
      <w:r>
        <w:rPr>
          <w:rFonts w:ascii="Times New Roman" w:hAnsi="Times New Roman" w:cs="Times New Roman"/>
          <w:sz w:val="24"/>
          <w:szCs w:val="24"/>
        </w:rPr>
        <w:t xml:space="preserve">территориальный орган федерального казначейства (далее – </w:t>
      </w:r>
      <w:r>
        <w:rPr>
          <w:rFonts w:ascii="Times New Roman" w:hAnsi="Times New Roman" w:cs="Times New Roman"/>
          <w:sz w:val="24"/>
          <w:szCs w:val="24"/>
        </w:rPr>
        <w:t xml:space="preserve">ТОФК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для добавления необходимых счетов. Хотели бы отметить, что данная процедура обращения в контекс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е интеграции не нужна. В </w:t>
      </w:r>
      <w:r>
        <w:rPr>
          <w:rFonts w:ascii="Times New Roman" w:hAnsi="Times New Roman" w:cs="Times New Roman"/>
          <w:sz w:val="24"/>
          <w:szCs w:val="24"/>
        </w:rPr>
        <w:t xml:space="preserve">РИС существует возможность самостоятельного указания счетов </w:t>
      </w:r>
      <w:r>
        <w:rPr>
          <w:rFonts w:ascii="Times New Roman" w:hAnsi="Times New Roman" w:cs="Times New Roman"/>
          <w:sz w:val="24"/>
          <w:szCs w:val="24"/>
        </w:rPr>
        <w:t xml:space="preserve">заказчиками без участия администраторов РИС. Для этого заказчику необходимо зайти в раздел Настройки – Банковские реквизиты заказчика (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_Ref119151816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_Ref119151825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1558290"/>
                <wp:effectExtent l="0" t="0" r="3175" b="3810"/>
                <wp:docPr id="3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1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940425" cy="1558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7.8pt;height:122.7pt;mso-wrap-distance-left:0.0pt;mso-wrap-distance-top:0.0pt;mso-wrap-distance-right:0.0pt;mso-wrap-distance-bottom:0.0pt;" stroked="false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pStyle w:val="635"/>
        <w:jc w:val="center"/>
        <w:spacing w:before="120" w:after="120"/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</w:pPr>
      <w:r/>
      <w:bookmarkStart w:id="4" w:name="_Ref119151816"/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t xml:space="preserve">Рисунок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instrText xml:space="preserve"> SEQ Рисунок \* ARABIC </w:instrTex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fldChar w:fldCharType="end"/>
      </w:r>
      <w:bookmarkEnd w:id="4"/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t xml:space="preserve">Справочник б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t xml:space="preserve">анковски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t xml:space="preserve"> реквизит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t xml:space="preserve"> в web5</w:t>
      </w:r>
      <w:r/>
    </w:p>
    <w:p>
      <w:pPr>
        <w:jc w:val="center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1358900"/>
                <wp:effectExtent l="0" t="0" r="3175" b="0"/>
                <wp:docPr id="4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940425" cy="1358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67.8pt;height:107.0pt;mso-wrap-distance-left:0.0pt;mso-wrap-distance-top:0.0pt;mso-wrap-distance-right:0.0pt;mso-wrap-distance-bottom:0.0pt;" stroked="false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pStyle w:val="635"/>
        <w:jc w:val="center"/>
        <w:spacing w:before="120" w:after="120"/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</w:pPr>
      <w:r/>
      <w:bookmarkStart w:id="5" w:name="_Ref119151825"/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t xml:space="preserve">Рисунок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instrText xml:space="preserve"> SEQ Рисунок \* ARABIC </w:instrTex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fldChar w:fldCharType="end"/>
      </w:r>
      <w:bookmarkEnd w:id="5"/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t xml:space="preserve">Справочник б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t xml:space="preserve">анковски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t xml:space="preserve"> реквизит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t xml:space="preserve"> в web6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открывшейся экранной форме справочника банковских реквизитов (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_Ref119151816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_Ref119151825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) необходимо добавить недостающие счета в разрезе:</w:t>
      </w:r>
      <w:r/>
    </w:p>
    <w:p>
      <w:pPr>
        <w:pStyle w:val="63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Лицевой счет;</w:t>
      </w:r>
      <w:r/>
    </w:p>
    <w:p>
      <w:pPr>
        <w:pStyle w:val="63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Расчетный счет;</w:t>
      </w:r>
      <w:r/>
    </w:p>
    <w:p>
      <w:pPr>
        <w:pStyle w:val="63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</w:p>
    <w:p>
      <w:pPr>
        <w:pStyle w:val="63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Статус;</w:t>
      </w:r>
      <w:r/>
    </w:p>
    <w:p>
      <w:pPr>
        <w:pStyle w:val="63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 лицевого счета.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заведении лицевого счета надо сверить наличие такого лицевого счета в книге регистрации лицевых счетов в ФК</w:t>
      </w:r>
      <w:r>
        <w:rPr>
          <w:rFonts w:ascii="Times New Roman" w:hAnsi="Times New Roman" w:cs="Times New Roman"/>
          <w:sz w:val="24"/>
          <w:szCs w:val="24"/>
        </w:rPr>
        <w:t xml:space="preserve"> (далее – КРЛС)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заведении расчетного счета (казначейского счета) необходимо проверить наличие данного счета в книге регистрации казначейских счетов в ФК</w:t>
      </w:r>
      <w:r>
        <w:rPr>
          <w:rFonts w:ascii="Times New Roman" w:hAnsi="Times New Roman" w:cs="Times New Roman"/>
          <w:sz w:val="24"/>
          <w:szCs w:val="24"/>
        </w:rPr>
        <w:t xml:space="preserve"> (далее – КРКС)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поле «Статус» надо выбирать значение «Актуально*», чтобы вновь добавляемая запись справочника не стала неактуальной в резуль</w:t>
      </w:r>
      <w:r>
        <w:rPr>
          <w:rFonts w:ascii="Times New Roman" w:hAnsi="Times New Roman" w:cs="Times New Roman"/>
          <w:sz w:val="24"/>
          <w:szCs w:val="24"/>
        </w:rPr>
        <w:t xml:space="preserve">тате синхронизации данных с ЕИС</w:t>
      </w:r>
      <w:r>
        <w:rPr>
          <w:rFonts w:ascii="Times New Roman" w:hAnsi="Times New Roman" w:cs="Times New Roman"/>
          <w:sz w:val="24"/>
          <w:szCs w:val="24"/>
        </w:rPr>
        <w:t xml:space="preserve"> ввиду отсутствия указанного значения в справочнике организаций в ЕИС.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Поле «БИК» заполняется </w:t>
      </w:r>
      <w:r>
        <w:rPr>
          <w:rFonts w:ascii="Times New Roman" w:hAnsi="Times New Roman" w:cs="Times New Roman"/>
          <w:sz w:val="24"/>
          <w:szCs w:val="24"/>
        </w:rPr>
        <w:t xml:space="preserve">выбором значения из справочника «Справочник банков». Добавление в справочник банков допустимо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администраторами РИС. Добавление новой записи в справочник банков допустимо </w:t>
      </w:r>
      <w:r>
        <w:rPr>
          <w:rFonts w:ascii="Times New Roman" w:hAnsi="Times New Roman" w:cs="Times New Roman"/>
          <w:sz w:val="24"/>
          <w:szCs w:val="24"/>
        </w:rPr>
        <w:t xml:space="preserve">только на основе глобального справочника банков, синхронизируемого с сайтом центрального банка РФ (далее – ЦБ). 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 лицево</w:t>
      </w:r>
      <w:r>
        <w:rPr>
          <w:rFonts w:ascii="Times New Roman" w:hAnsi="Times New Roman" w:cs="Times New Roman"/>
          <w:sz w:val="24"/>
          <w:szCs w:val="24"/>
        </w:rPr>
        <w:t xml:space="preserve">го</w:t>
      </w:r>
      <w:r>
        <w:rPr>
          <w:rFonts w:ascii="Times New Roman" w:hAnsi="Times New Roman" w:cs="Times New Roman"/>
          <w:sz w:val="24"/>
          <w:szCs w:val="24"/>
        </w:rPr>
        <w:t xml:space="preserve"> счета может принимать значения:</w:t>
      </w:r>
      <w:r/>
    </w:p>
    <w:p>
      <w:pPr>
        <w:pStyle w:val="63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ФК;</w:t>
      </w:r>
      <w:r/>
    </w:p>
    <w:p>
      <w:pPr>
        <w:pStyle w:val="63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ФО;</w:t>
      </w:r>
      <w:r/>
    </w:p>
    <w:p>
      <w:pPr>
        <w:pStyle w:val="63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Расчетный счет.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заведения счета, открытого в ФК, в поле «Тип лицевого счета» надо выбрать значение «ФК».</w:t>
      </w:r>
      <w:r/>
    </w:p>
    <w:tbl>
      <w:tblPr>
        <w:tblW w:w="9180" w:type="dxa"/>
        <w:tblLook w:val="01E0" w:firstRow="1" w:lastRow="1" w:firstColumn="1" w:lastColumn="1" w:noHBand="0" w:noVBand="0"/>
      </w:tblPr>
      <w:tblGrid>
        <w:gridCol w:w="1080"/>
        <w:gridCol w:w="8100"/>
      </w:tblGrid>
      <w:tr>
        <w:trPr>
          <w:trHeight w:val="725"/>
        </w:trPr>
        <w:tc>
          <w:tcPr>
            <w:tcW w:w="1080" w:type="dxa"/>
            <w:textDirection w:val="lrTb"/>
            <w:noWrap w:val="false"/>
          </w:tcPr>
          <w:p>
            <w:pPr>
              <w:pStyle w:val="829"/>
            </w:pPr>
            <w:r>
              <w:rPr>
                <w:highlight w:val="lightGray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4800" cy="304800"/>
                      <wp:effectExtent l="0" t="0" r="0" b="0"/>
                      <wp:docPr id="5" name="Рисунок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24.0pt;height:24.0pt;mso-wrap-distance-left:0.0pt;mso-wrap-distance-top:0.0pt;mso-wrap-distance-right:0.0pt;mso-wrap-distance-bottom:0.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d9d9d9"/>
            <w:tcW w:w="810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Просьба предельно внимательно отнестись к заполнению информации в справочнике «Справо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чник банковских реквизитов», т.к. в случае использования неверного счета в документах его дальнейшее удаление будет невозможно. В таком случае будет доступна возможность только поменять значение в поле Статус на значение «Не актуально» или «Не актуально*».</w:t>
            </w:r>
            <w:r/>
          </w:p>
        </w:tc>
      </w:tr>
    </w:tbl>
    <w:p>
      <w:pPr>
        <w:pStyle w:val="822"/>
        <w:ind w:left="1440" w:hanging="720"/>
        <w:tabs>
          <w:tab w:val="num" w:pos="1440" w:leader="none"/>
        </w:tabs>
      </w:pPr>
      <w:r/>
      <w:bookmarkStart w:id="6" w:name="_Toc119152855"/>
      <w:r>
        <w:t xml:space="preserve">3. </w:t>
      </w:r>
      <w:r>
        <w:t xml:space="preserve">Инфраструктурная ошибка ЕИС при неактуальном БИК</w:t>
      </w:r>
      <w:bookmarkEnd w:id="6"/>
      <w:r/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Часто встречаются проблемы при отправке сведений о заключенном контракте в ЕИС. </w:t>
      </w:r>
      <w:r>
        <w:rPr>
          <w:rFonts w:ascii="Times New Roman" w:hAnsi="Times New Roman" w:cs="Times New Roman"/>
          <w:sz w:val="24"/>
          <w:szCs w:val="24"/>
        </w:rPr>
        <w:t xml:space="preserve">Проблема сопровождается инфраструктурной ошибкой при приеме в ЕИС следующего вида: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Courier New" w:hAnsi="Courier New" w:eastAsia="Times New Roman" w:cs="Courier New"/>
          <w:color w:val="000000"/>
          <w:sz w:val="24"/>
          <w:szCs w:val="24"/>
          <w:lang w:eastAsia="ru-RU"/>
        </w:rPr>
        <w:t xml:space="preserve">"РГК. </w:t>
      </w:r>
      <w:r>
        <w:rPr>
          <w:rFonts w:ascii="Courier New" w:hAnsi="Courier New" w:eastAsia="Times New Roman" w:cs="Courier New"/>
          <w:color w:val="000000"/>
          <w:sz w:val="24"/>
          <w:szCs w:val="24"/>
          <w:lang w:eastAsia="ru-RU"/>
        </w:rPr>
        <w:t xml:space="preserve">java.lang.NullPointerException</w:t>
      </w:r>
      <w:r>
        <w:rPr>
          <w:rFonts w:ascii="Courier New" w:hAnsi="Courier New" w:eastAsia="Times New Roman" w:cs="Courier New"/>
          <w:color w:val="000000"/>
          <w:sz w:val="24"/>
          <w:szCs w:val="24"/>
          <w:lang w:eastAsia="ru-RU"/>
        </w:rPr>
        <w:t xml:space="preserve"> at deployment.rgk-integration-adapter-ear.ear.rgk-integration-adapter.war//ru.lanit.rgk.integration.adapter.mapper.contractinfo.ContractInfo2015Mapper.fillAccountInfos(ContractInfo2015Mapper.java:6037) </w:t>
      </w:r>
      <w:r>
        <w:rPr>
          <w:rFonts w:ascii="Courier New" w:hAnsi="Courier New" w:eastAsia="Times New Roman" w:cs="Courier New"/>
          <w:color w:val="000000"/>
          <w:sz w:val="24"/>
          <w:szCs w:val="24"/>
          <w:lang w:eastAsia="ru-RU"/>
        </w:rPr>
        <w:t xml:space="preserve">at</w:t>
      </w:r>
      <w:r>
        <w:rPr>
          <w:rFonts w:ascii="Courier New" w:hAnsi="Courier New" w:eastAsia="Times New Roman" w:cs="Courier New"/>
          <w:color w:val="000000"/>
          <w:sz w:val="24"/>
          <w:szCs w:val="24"/>
          <w:lang w:eastAsia="ru-RU"/>
        </w:rPr>
        <w:t xml:space="preserve"> deployment.rgk-integration-adapter-ear.ear.rgk-integration-adapter.war//ru.lanit.rgk.integration.adapter.mapper.contractinfo.ContractInfo2015Mapper.mapSuppliersInfo(ContractInfo2015Mapper.java:5448) </w:t>
      </w:r>
      <w:r>
        <w:rPr>
          <w:rFonts w:ascii="Courier New" w:hAnsi="Courier New" w:eastAsia="Times New Roman" w:cs="Courier New"/>
          <w:color w:val="000000"/>
          <w:sz w:val="24"/>
          <w:szCs w:val="24"/>
          <w:lang w:eastAsia="ru-RU"/>
        </w:rPr>
        <w:t xml:space="preserve">at</w:t>
      </w:r>
      <w:r>
        <w:rPr>
          <w:rFonts w:ascii="Courier New" w:hAnsi="Courier New" w:eastAsia="Times New Roman" w:cs="Courier New"/>
          <w:color w:val="000000"/>
          <w:sz w:val="24"/>
          <w:szCs w:val="24"/>
          <w:lang w:eastAsia="ru-RU"/>
        </w:rPr>
        <w:t xml:space="preserve"> deployment.rgk-integration-adapter-ear.ear.rgk-integration-adapter.war//ru.lanit.rgk.integration.adapter.mapper.contractinfo.ContractInfo2015Mapper.map(ContractInfo2015Mapper.java:829) </w:t>
      </w:r>
      <w:r>
        <w:rPr>
          <w:rFonts w:ascii="Courier New" w:hAnsi="Courier New" w:eastAsia="Times New Roman" w:cs="Courier New"/>
          <w:color w:val="000000"/>
          <w:sz w:val="24"/>
          <w:szCs w:val="24"/>
          <w:lang w:eastAsia="ru-RU"/>
        </w:rPr>
        <w:t xml:space="preserve">at</w:t>
      </w:r>
      <w:r>
        <w:rPr>
          <w:rFonts w:ascii="Courier New" w:hAnsi="Courier New" w:eastAsia="Times New Roman" w:cs="Courier New"/>
          <w:color w:val="000000"/>
          <w:sz w:val="24"/>
          <w:szCs w:val="24"/>
          <w:lang w:eastAsia="ru-RU"/>
        </w:rPr>
        <w:t xml:space="preserve"> </w:t>
      </w:r>
      <w:r>
        <w:rPr>
          <w:rFonts w:ascii="Courier New" w:hAnsi="Courier New" w:eastAsia="Times New Roman" w:cs="Courier New"/>
          <w:color w:val="000000"/>
          <w:sz w:val="24"/>
          <w:szCs w:val="24"/>
          <w:lang w:eastAsia="ru-RU"/>
        </w:rPr>
        <w:t xml:space="preserve">deployment.rgk</w:t>
      </w:r>
      <w:r>
        <w:rPr>
          <w:rFonts w:ascii="Courier New" w:hAnsi="Courier New" w:eastAsia="Times New Roman" w:cs="Courier New"/>
          <w:color w:val="000000"/>
          <w:sz w:val="24"/>
          <w:szCs w:val="24"/>
          <w:lang w:eastAsia="ru-RU"/>
        </w:rPr>
        <w:t xml:space="preserve">-integration-adapter-</w:t>
      </w:r>
      <w:r>
        <w:rPr>
          <w:rFonts w:ascii="Courier New" w:hAnsi="Courier New" w:eastAsia="Times New Roman" w:cs="Courier New"/>
          <w:color w:val="000000"/>
          <w:sz w:val="24"/>
          <w:szCs w:val="24"/>
          <w:lang w:eastAsia="ru-RU"/>
        </w:rPr>
        <w:t xml:space="preserve">ear.ear.rgk</w:t>
      </w:r>
      <w:r>
        <w:rPr>
          <w:rFonts w:ascii="Courier New" w:hAnsi="Courier New" w:eastAsia="Times New Roman" w:cs="Courier New"/>
          <w:color w:val="000000"/>
          <w:sz w:val="24"/>
          <w:szCs w:val="24"/>
          <w:lang w:eastAsia="ru-RU"/>
        </w:rPr>
        <w:t xml:space="preserve">-integration-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Причина появления данной ошибки в использовании неактуального БИК. Об этом же пишет служба технической поддержки ЕИС (далее – СТП ЕИС). Цитата ответа СТП ЕИС: 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 передаваемом пакете в платёжных реквизитах поставщика указан неактуальный БИК. Просьба указать БИК, который будет присутствовать в актуальном состоянии и повторить интеграцию.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 пакете указан тип счёта: 03 - "Расчетный счет в банке", 04 - "Счет </w:t>
      </w:r>
      <w:r>
        <w:rPr>
          <w:rFonts w:ascii="Times New Roman" w:hAnsi="Times New Roman" w:cs="Times New Roman"/>
          <w:sz w:val="24"/>
          <w:szCs w:val="24"/>
        </w:rPr>
        <w:t xml:space="preserve">эскроу</w:t>
      </w:r>
      <w:r>
        <w:rPr>
          <w:rFonts w:ascii="Times New Roman" w:hAnsi="Times New Roman" w:cs="Times New Roman"/>
          <w:sz w:val="24"/>
          <w:szCs w:val="24"/>
        </w:rPr>
        <w:t xml:space="preserve">" ,</w:t>
      </w:r>
      <w:r>
        <w:rPr>
          <w:rFonts w:ascii="Times New Roman" w:hAnsi="Times New Roman" w:cs="Times New Roman"/>
          <w:sz w:val="24"/>
          <w:szCs w:val="24"/>
        </w:rPr>
        <w:t xml:space="preserve"> или ("05 - Счет для перечисления денежных средств" и не заполнено поле "Номер лицевого счёта" (</w:t>
      </w:r>
      <w:r>
        <w:rPr>
          <w:rFonts w:ascii="Times New Roman" w:hAnsi="Times New Roman" w:cs="Times New Roman"/>
          <w:sz w:val="24"/>
          <w:szCs w:val="24"/>
        </w:rPr>
        <w:t xml:space="preserve">personalAccountNumber</w:t>
      </w:r>
      <w:r>
        <w:rPr>
          <w:rFonts w:ascii="Times New Roman" w:hAnsi="Times New Roman" w:cs="Times New Roman"/>
          <w:sz w:val="24"/>
          <w:szCs w:val="24"/>
        </w:rPr>
        <w:t xml:space="preserve">)), </w:t>
      </w:r>
      <w:r>
        <w:rPr>
          <w:rFonts w:ascii="Times New Roman" w:hAnsi="Times New Roman" w:cs="Times New Roman"/>
          <w:b/>
          <w:sz w:val="24"/>
          <w:szCs w:val="24"/>
        </w:rPr>
        <w:t xml:space="preserve">то значение БИК должно быть актуально в справочнике НСИ БИК.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тип счёта 01- "Лицевой счет в ФК", 02 - "Лицевой счет в ФО", 06 - "Счет для уплаты налогов" или ("05 - Счет для перечисления денежных средств" и заполнено поле </w:t>
      </w:r>
      <w:r>
        <w:rPr>
          <w:rFonts w:ascii="Times New Roman" w:hAnsi="Times New Roman" w:cs="Times New Roman"/>
          <w:sz w:val="24"/>
          <w:szCs w:val="24"/>
        </w:rPr>
        <w:t xml:space="preserve">"Номер лицевого счёта" (</w:t>
      </w:r>
      <w:r>
        <w:rPr>
          <w:rFonts w:ascii="Times New Roman" w:hAnsi="Times New Roman" w:cs="Times New Roman"/>
          <w:sz w:val="24"/>
          <w:szCs w:val="24"/>
        </w:rPr>
        <w:t xml:space="preserve">personalAccountNumber</w:t>
      </w:r>
      <w:r>
        <w:rPr>
          <w:rFonts w:ascii="Times New Roman" w:hAnsi="Times New Roman" w:cs="Times New Roman"/>
          <w:sz w:val="24"/>
          <w:szCs w:val="24"/>
        </w:rPr>
        <w:t xml:space="preserve">)), </w:t>
      </w:r>
      <w:r>
        <w:rPr>
          <w:rFonts w:ascii="Times New Roman" w:hAnsi="Times New Roman" w:cs="Times New Roman"/>
          <w:b/>
          <w:sz w:val="24"/>
          <w:szCs w:val="24"/>
        </w:rPr>
        <w:t xml:space="preserve">то значение БИК должно быть актуально в справочнике КРКС.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данном случае необходимо проверить БИК на предмет актуальности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случае обнаружения неактуального БИК </w:t>
      </w:r>
      <w:r>
        <w:rPr>
          <w:rFonts w:ascii="Times New Roman" w:hAnsi="Times New Roman" w:cs="Times New Roman"/>
          <w:sz w:val="24"/>
          <w:szCs w:val="24"/>
        </w:rPr>
        <w:t xml:space="preserve">следует</w:t>
      </w:r>
      <w:r>
        <w:rPr>
          <w:rFonts w:ascii="Times New Roman" w:hAnsi="Times New Roman" w:cs="Times New Roman"/>
          <w:sz w:val="24"/>
          <w:szCs w:val="24"/>
        </w:rPr>
        <w:t xml:space="preserve"> в передаваемых сведениях о заключенном контракте указать счет с актуальным БИК банка.</w:t>
      </w:r>
      <w:r/>
    </w:p>
    <w:p>
      <w:pPr>
        <w:pStyle w:val="822"/>
        <w:ind w:left="1440" w:hanging="720"/>
        <w:tabs>
          <w:tab w:val="num" w:pos="1440" w:leader="none"/>
        </w:tabs>
      </w:pPr>
      <w:r/>
      <w:bookmarkStart w:id="7" w:name="_Toc119152856"/>
      <w:r>
        <w:t xml:space="preserve">4. </w:t>
      </w:r>
      <w:r>
        <w:t xml:space="preserve">Неактуальное состояние счетов в ЕИС</w:t>
      </w:r>
      <w:bookmarkEnd w:id="7"/>
      <w:r/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Бывают случаи, когда ЕИС неправомерно требует заполнение счетов заказчика в ФК, т.к. считает, что у заказчика есть актуальные открытые счета в ФК. Заказчик же утверждает, что у заказчика нет счетов или счета не актуальны. В данном случае </w:t>
      </w:r>
      <w:r>
        <w:rPr>
          <w:rFonts w:ascii="Times New Roman" w:hAnsi="Times New Roman" w:cs="Times New Roman"/>
          <w:sz w:val="24"/>
          <w:szCs w:val="24"/>
        </w:rPr>
        <w:t xml:space="preserve">нужно</w:t>
      </w:r>
      <w:r>
        <w:rPr>
          <w:rFonts w:ascii="Times New Roman" w:hAnsi="Times New Roman" w:cs="Times New Roman"/>
          <w:sz w:val="24"/>
          <w:szCs w:val="24"/>
        </w:rPr>
        <w:t xml:space="preserve"> проверить актуальность счетов заказчика в реестре участников бюджетного процесс на сайте электронного бюджета (далее – ЭБ) (</w:t>
      </w:r>
      <w:hyperlink r:id="rId16" w:tooltip="http://budget.gov.ru/Бюджет/Расходы/Реестр-участников-и-неучастников-бюджетного-процесса" w:history="1">
        <w:r>
          <w:rPr>
            <w:rStyle w:val="631"/>
            <w:rFonts w:ascii="Times New Roman" w:hAnsi="Times New Roman" w:cs="Times New Roman"/>
            <w:sz w:val="24"/>
            <w:szCs w:val="24"/>
          </w:rPr>
          <w:t xml:space="preserve">http://budget.gov.ru/Бюджет/Расходы/Реестр</w:t>
        </w:r>
        <w:r>
          <w:rPr>
            <w:rStyle w:val="631"/>
            <w:rFonts w:ascii="Times New Roman" w:hAnsi="Times New Roman" w:cs="Times New Roman"/>
            <w:sz w:val="24"/>
            <w:szCs w:val="24"/>
          </w:rPr>
          <w:t xml:space="preserve">-</w:t>
        </w:r>
        <w:r>
          <w:rPr>
            <w:rStyle w:val="631"/>
            <w:rFonts w:ascii="Times New Roman" w:hAnsi="Times New Roman" w:cs="Times New Roman"/>
            <w:sz w:val="24"/>
            <w:szCs w:val="24"/>
          </w:rPr>
          <w:t xml:space="preserve">участников-и-неучастников-бюджетного-процесса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А также сверить информацию о счетах по заказчику в СВР ЕИС. 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Выход из ситуации. В случае обнаружения расхождения сведений в двух справочниках и обнаружения некорректного состояния СВР в ЕИС следует обратиться в СТП ЕИС с просьбой актуализации данных из ЭБ.</w:t>
      </w:r>
      <w:r/>
    </w:p>
    <w:p>
      <w:pPr>
        <w:pStyle w:val="822"/>
        <w:ind w:left="1440" w:hanging="720"/>
        <w:tabs>
          <w:tab w:val="num" w:pos="1440" w:leader="none"/>
        </w:tabs>
      </w:pPr>
      <w:r>
        <w:tab/>
      </w:r>
      <w:bookmarkStart w:id="8" w:name="_Toc119152857"/>
      <w:r>
        <w:t xml:space="preserve">5. </w:t>
      </w:r>
      <w:r>
        <w:t xml:space="preserve">Возможные проблемы со счетами поставщиков</w:t>
      </w:r>
      <w:bookmarkEnd w:id="8"/>
      <w:r/>
      <w:r/>
    </w:p>
    <w:p>
      <w:pPr>
        <w:pStyle w:val="632"/>
        <w:ind w:firstLine="709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Бывают случаи, когда в платежных реквизитах поставщика указывается лицевой счет, т.е. используется казначейское сопровождение контракта. Поставщик открывает корректный счет в ТОФК, но при указании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лицевого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счета в сведениях о заключенном контракте для отправки его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в ЕИС срабатывает контроль ЕИС примерно следующего содержания: </w:t>
      </w:r>
      <w:r/>
    </w:p>
    <w:p>
      <w:pPr>
        <w:pStyle w:val="632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/>
    </w:p>
    <w:p>
      <w:pPr>
        <w:pStyle w:val="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color w:val="000000"/>
          <w:sz w:val="24"/>
          <w:szCs w:val="24"/>
        </w:rPr>
        <w:t xml:space="preserve">В сведениях о контракте указанное для поставщика </w:t>
      </w:r>
      <w:r>
        <w:rPr>
          <w:color w:val="000000"/>
          <w:sz w:val="24"/>
          <w:szCs w:val="24"/>
        </w:rPr>
        <w:t xml:space="preserve">«</w:t>
      </w:r>
      <w:r>
        <w:rPr>
          <w:color w:val="000000"/>
          <w:sz w:val="24"/>
          <w:szCs w:val="24"/>
        </w:rPr>
        <w:t xml:space="preserve">наименование_поставщика</w:t>
      </w:r>
      <w:r>
        <w:rPr>
          <w:color w:val="000000"/>
          <w:sz w:val="24"/>
          <w:szCs w:val="24"/>
        </w:rPr>
        <w:t xml:space="preserve">»</w:t>
      </w:r>
      <w:r>
        <w:rPr>
          <w:color w:val="000000"/>
          <w:sz w:val="24"/>
          <w:szCs w:val="24"/>
        </w:rPr>
        <w:t xml:space="preserve">, ИНН </w:t>
      </w:r>
      <w:r>
        <w:rPr>
          <w:color w:val="000000"/>
          <w:sz w:val="24"/>
          <w:szCs w:val="24"/>
        </w:rPr>
        <w:t xml:space="preserve">«</w:t>
      </w:r>
      <w:r>
        <w:rPr>
          <w:color w:val="000000"/>
          <w:sz w:val="24"/>
          <w:szCs w:val="24"/>
        </w:rPr>
        <w:t xml:space="preserve">ИНН_поставщика</w:t>
      </w:r>
      <w:r>
        <w:rPr>
          <w:color w:val="000000"/>
          <w:sz w:val="24"/>
          <w:szCs w:val="24"/>
        </w:rPr>
        <w:t xml:space="preserve">»</w:t>
      </w:r>
      <w:r>
        <w:rPr>
          <w:color w:val="000000"/>
          <w:sz w:val="24"/>
          <w:szCs w:val="24"/>
        </w:rPr>
        <w:t xml:space="preserve"> значение поля «Лицевой счет для казначейского сопровождения» "</w:t>
      </w:r>
      <w:r>
        <w:rPr>
          <w:color w:val="000000"/>
          <w:sz w:val="24"/>
          <w:szCs w:val="24"/>
        </w:rPr>
        <w:t xml:space="preserve">лицевой_счет_поставщика</w:t>
      </w:r>
      <w:r>
        <w:rPr>
          <w:color w:val="000000"/>
          <w:sz w:val="24"/>
          <w:szCs w:val="24"/>
        </w:rPr>
        <w:t xml:space="preserve">" не найдено в актуальном состоянии или содержит отличный от указанного в информации о контракте код бюджета в справочнике «Книга регистрации лицевых счетов».</w:t>
      </w:r>
      <w:r>
        <w:rPr>
          <w:rFonts w:ascii="Times New Roman" w:hAnsi="Times New Roman" w:cs="Times New Roman"/>
          <w:sz w:val="24"/>
          <w:szCs w:val="24"/>
        </w:rPr>
        <w:t xml:space="preserve">».</w:t>
      </w:r>
      <w:r/>
    </w:p>
    <w:p>
      <w:pPr>
        <w:pStyle w:val="6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/>
    </w:p>
    <w:p>
      <w:pPr>
        <w:pStyle w:val="632"/>
        <w:ind w:firstLine="709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Причина срабатывания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такого контроль, как показывает практика, заключается в том, что ТОФК при заведении счетов в КРЛС допускает ошибку в реквизитном составе поставщика. Указывает неверный ИНН или КПП. Пример некорректного заведения лицевого счета в КРЛС виден на рисунке ниже</w:t>
      </w:r>
      <w:bookmarkStart w:id="9" w:name="_GoBack"/>
      <w:r/>
      <w:bookmarkEnd w:id="9"/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.</w:t>
      </w:r>
      <w:r/>
    </w:p>
    <w:p>
      <w:pPr>
        <w:pStyle w:val="632"/>
        <w:jc w:val="center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976245"/>
                <wp:effectExtent l="0" t="0" r="3175" b="0"/>
                <wp:docPr id="6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5940425" cy="297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67.8pt;height:234.3pt;mso-wrap-distance-left:0.0pt;mso-wrap-distance-top:0.0pt;mso-wrap-distance-right:0.0pt;mso-wrap-distance-bottom:0.0pt;" stroked="false">
                <v:path textboxrect="0,0,0,0"/>
                <v:imagedata r:id="rId17" o:title=""/>
              </v:shape>
            </w:pict>
          </mc:Fallback>
        </mc:AlternateContent>
      </w:r>
      <w:r/>
    </w:p>
    <w:p>
      <w:pPr>
        <w:pStyle w:val="635"/>
        <w:jc w:val="center"/>
        <w:spacing w:before="120" w:after="120"/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t xml:space="preserve">Рисунок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instrText xml:space="preserve"> SEQ Рисунок \* ARABIC </w:instrTex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auto"/>
          <w:sz w:val="20"/>
          <w:szCs w:val="20"/>
          <w:lang w:eastAsia="ru-RU"/>
        </w:rPr>
        <w:t xml:space="preserve">. ТОФК некорректно указал КПП поставщика</w:t>
      </w:r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Выход из ситуации. Необходимо обратиться в ТОФК по факту некорректной записи в КРЛС. ТОФК, как правило, заводит по факту обращения новую запись в КРЛС с уже верными значениями поставщика.</w:t>
      </w:r>
      <w:r/>
    </w:p>
    <w:tbl>
      <w:tblPr>
        <w:tblW w:w="9180" w:type="dxa"/>
        <w:tblLook w:val="01E0" w:firstRow="1" w:lastRow="1" w:firstColumn="1" w:lastColumn="1" w:noHBand="0" w:noVBand="0"/>
      </w:tblPr>
      <w:tblGrid>
        <w:gridCol w:w="1080"/>
        <w:gridCol w:w="8100"/>
      </w:tblGrid>
      <w:tr>
        <w:trPr>
          <w:trHeight w:val="725"/>
        </w:trPr>
        <w:tc>
          <w:tcPr>
            <w:tcW w:w="1080" w:type="dxa"/>
            <w:textDirection w:val="lrTb"/>
            <w:noWrap w:val="false"/>
          </w:tcPr>
          <w:p>
            <w:pPr>
              <w:pStyle w:val="829"/>
            </w:pPr>
            <w:r>
              <w:rPr>
                <w:highlight w:val="lightGray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4800" cy="304800"/>
                      <wp:effectExtent l="0" t="0" r="0" b="0"/>
                      <wp:docPr id="7" name="Рисунок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24.0pt;height:24.0pt;mso-wrap-distance-left:0.0pt;mso-wrap-distance-top:0.0pt;mso-wrap-distance-right:0.0pt;mso-wrap-distance-bottom:0.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d9d9d9"/>
            <w:tcW w:w="810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случае если у вас наблюдаются проблемы с отправкой сведений о заключенном контракте в ЕИС и решение по вышеописанным пунктам вам не подходит/не помогает, то необходимо заводить обращение в службу технической поддержки ПК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WEB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-Торги-КС».</w:t>
            </w:r>
            <w:r/>
          </w:p>
        </w:tc>
      </w:tr>
    </w:tbl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794"/>
      <w:isLgl w:val="false"/>
      <w:suff w:val="tab"/>
      <w:lvlText w:val=""/>
      <w:lvlJc w:val="left"/>
      <w:pPr>
        <w:ind w:left="720" w:firstLine="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pStyle w:val="817"/>
      <w:isLgl w:val="false"/>
      <w:suff w:val="tab"/>
      <w:lvlText w:val="%1."/>
      <w:lvlJc w:val="left"/>
      <w:pPr>
        <w:ind w:left="1077" w:hanging="357"/>
        <w:tabs>
          <w:tab w:val="num" w:pos="107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pStyle w:val="668"/>
      <w:isLgl w:val="false"/>
      <w:suff w:val="tab"/>
      <w:lvlText w:val=""/>
      <w:lvlJc w:val="left"/>
      <w:pPr>
        <w:ind w:left="1667" w:hanging="227"/>
        <w:tabs>
          <w:tab w:val="num" w:pos="1667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880" w:hanging="360"/>
        <w:tabs>
          <w:tab w:val="num" w:pos="288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40" w:hanging="360"/>
        <w:tabs>
          <w:tab w:val="num" w:pos="504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200" w:hanging="360"/>
        <w:tabs>
          <w:tab w:val="num" w:pos="720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920" w:hanging="360"/>
        <w:tabs>
          <w:tab w:val="num" w:pos="7920" w:leader="none"/>
        </w:tabs>
      </w:pPr>
      <w:rPr>
        <w:rFonts w:hint="default" w:ascii="Wingdings" w:hAnsi="Wingdings" w:cs="Wingdings"/>
      </w:rPr>
    </w:lvl>
  </w:abstractNum>
  <w:abstractNum w:abstractNumId="3">
    <w:multiLevelType w:val="hybridMultilevel"/>
    <w:styleLink w:val="835"/>
    <w:lvl w:ilvl="0">
      <w:start w:val="1"/>
      <w:numFmt w:val="upperRoman"/>
      <w:pStyle w:val="835"/>
      <w:isLgl w:val="false"/>
      <w:suff w:val="tab"/>
      <w:lvlText w:val="Статья %1."/>
      <w:lvlJc w:val="left"/>
      <w:pPr>
        <w:tabs>
          <w:tab w:val="num" w:pos="1440" w:leader="none"/>
        </w:tabs>
      </w:pPr>
    </w:lvl>
    <w:lvl w:ilvl="1">
      <w:start w:val="1"/>
      <w:numFmt w:val="decimalZero"/>
      <w:isLgl/>
      <w:suff w:val="tab"/>
      <w:lvlText w:val="Раздел %1.%2"/>
      <w:lvlJc w:val="left"/>
      <w:pPr>
        <w:tabs>
          <w:tab w:val="num" w:pos="1080" w:leader="none"/>
        </w:tabs>
      </w:pPr>
    </w:lvl>
    <w:lvl w:ilvl="2">
      <w:start w:val="1"/>
      <w:numFmt w:val="lowerLetter"/>
      <w:isLgl w:val="false"/>
      <w:suff w:val="tab"/>
      <w:lvlText w:val="(%3)"/>
      <w:lvlJc w:val="left"/>
      <w:pPr>
        <w:ind w:left="720" w:hanging="432"/>
        <w:tabs>
          <w:tab w:val="num" w:pos="720" w:leader="none"/>
        </w:tabs>
      </w:pPr>
    </w:lvl>
    <w:lvl w:ilvl="3">
      <w:start w:val="1"/>
      <w:numFmt w:val="lowerRoman"/>
      <w:isLgl w:val="false"/>
      <w:suff w:val="tab"/>
      <w:lvlText w:val="(%4)"/>
      <w:lvlJc w:val="right"/>
      <w:pPr>
        <w:ind w:left="864" w:hanging="14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5)"/>
      <w:lvlJc w:val="left"/>
      <w:pPr>
        <w:ind w:left="1008" w:hanging="432"/>
        <w:tabs>
          <w:tab w:val="num" w:pos="1008" w:leader="none"/>
        </w:tabs>
      </w:pPr>
    </w:lvl>
    <w:lvl w:ilvl="5">
      <w:start w:val="1"/>
      <w:numFmt w:val="lowerLetter"/>
      <w:isLgl w:val="false"/>
      <w:suff w:val="tab"/>
      <w:lvlText w:val="%6)"/>
      <w:lvlJc w:val="left"/>
      <w:pPr>
        <w:ind w:left="1152" w:hanging="432"/>
        <w:tabs>
          <w:tab w:val="num" w:pos="1152" w:leader="none"/>
        </w:tabs>
      </w:pPr>
    </w:lvl>
    <w:lvl w:ilvl="6">
      <w:start w:val="1"/>
      <w:numFmt w:val="lowerRoman"/>
      <w:isLgl w:val="false"/>
      <w:suff w:val="tab"/>
      <w:lvlText w:val="%7)"/>
      <w:lvlJc w:val="right"/>
      <w:pPr>
        <w:ind w:left="1296" w:hanging="288"/>
        <w:tabs>
          <w:tab w:val="num" w:pos="129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1440" w:hanging="432"/>
        <w:tabs>
          <w:tab w:val="num" w:pos="14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1584" w:hanging="144"/>
        <w:tabs>
          <w:tab w:val="num" w:pos="1584" w:leader="none"/>
        </w:tabs>
      </w:pPr>
    </w:lvl>
  </w:abstractNum>
  <w:abstractNum w:abstractNumId="4">
    <w:multiLevelType w:val="hybridMultilevel"/>
    <w:lvl w:ilvl="0">
      <w:start w:val="1"/>
      <w:numFmt w:val="none"/>
      <w:pStyle w:val="745"/>
      <w:isLgl w:val="false"/>
      <w:suff w:val="tab"/>
      <w:lvlText w:val="Таблица"/>
      <w:lvlJc w:val="left"/>
      <w:pPr>
        <w:ind w:left="454"/>
        <w:tabs>
          <w:tab w:val="num" w:pos="90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94" w:hanging="360"/>
        <w:tabs>
          <w:tab w:val="num" w:pos="189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614" w:hanging="180"/>
        <w:tabs>
          <w:tab w:val="num" w:pos="261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34" w:hanging="360"/>
        <w:tabs>
          <w:tab w:val="num" w:pos="333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54" w:hanging="360"/>
        <w:tabs>
          <w:tab w:val="num" w:pos="405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74" w:hanging="180"/>
        <w:tabs>
          <w:tab w:val="num" w:pos="477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94" w:hanging="360"/>
        <w:tabs>
          <w:tab w:val="num" w:pos="549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214" w:hanging="360"/>
        <w:tabs>
          <w:tab w:val="num" w:pos="621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34" w:hanging="180"/>
        <w:tabs>
          <w:tab w:val="num" w:pos="6934" w:leader="none"/>
        </w:tabs>
      </w:pPr>
    </w:lvl>
  </w:abstractNum>
  <w:abstractNum w:abstractNumId="5">
    <w:multiLevelType w:val="hybridMultilevel"/>
    <w:lvl w:ilvl="0">
      <w:start w:val="1"/>
      <w:numFmt w:val="bullet"/>
      <w:pStyle w:val="619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pStyle w:val="620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pStyle w:val="621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pStyle w:val="622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pStyle w:val="623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pStyle w:val="624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pStyle w:val="625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pStyle w:val="626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pStyle w:val="627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multiLevelType w:val="hybridMultilevel"/>
    <w:styleLink w:val="870"/>
    <w:lvl w:ilvl="0">
      <w:start w:val="1"/>
      <w:numFmt w:val="none"/>
      <w:pStyle w:val="870"/>
      <w:isLgl w:val="false"/>
      <w:suff w:val="space"/>
      <w:lvlText w:val="Рисунок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none"/>
      <w:pStyle w:val="756"/>
      <w:isLgl w:val="false"/>
      <w:suff w:val="tab"/>
      <w:lvlText w:val="Рисунок"/>
      <w:lvlJc w:val="left"/>
      <w:pPr>
        <w:tabs>
          <w:tab w:val="num" w:pos="794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28"/>
    <w:link w:val="619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28"/>
    <w:link w:val="620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28"/>
    <w:link w:val="621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28"/>
    <w:link w:val="622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28"/>
    <w:link w:val="623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28"/>
    <w:link w:val="624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28"/>
    <w:link w:val="6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28"/>
    <w:link w:val="626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28"/>
    <w:link w:val="627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18"/>
    <w:next w:val="61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28"/>
    <w:link w:val="33"/>
    <w:uiPriority w:val="10"/>
    <w:rPr>
      <w:sz w:val="48"/>
      <w:szCs w:val="48"/>
    </w:rPr>
  </w:style>
  <w:style w:type="character" w:styleId="36">
    <w:name w:val="Subtitle Char"/>
    <w:basedOn w:val="628"/>
    <w:link w:val="699"/>
    <w:uiPriority w:val="11"/>
    <w:rPr>
      <w:sz w:val="24"/>
      <w:szCs w:val="24"/>
    </w:rPr>
  </w:style>
  <w:style w:type="paragraph" w:styleId="37">
    <w:name w:val="Quote"/>
    <w:basedOn w:val="618"/>
    <w:next w:val="61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18"/>
    <w:next w:val="61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28"/>
    <w:link w:val="825"/>
    <w:uiPriority w:val="99"/>
  </w:style>
  <w:style w:type="character" w:styleId="44">
    <w:name w:val="Footer Char"/>
    <w:basedOn w:val="628"/>
    <w:link w:val="827"/>
    <w:uiPriority w:val="99"/>
  </w:style>
  <w:style w:type="character" w:styleId="46">
    <w:name w:val="Caption Char"/>
    <w:basedOn w:val="635"/>
    <w:link w:val="827"/>
    <w:uiPriority w:val="99"/>
  </w:style>
  <w:style w:type="table" w:styleId="48">
    <w:name w:val="Table Grid Light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Footnote Text Char"/>
    <w:link w:val="779"/>
    <w:uiPriority w:val="99"/>
    <w:rPr>
      <w:sz w:val="18"/>
    </w:rPr>
  </w:style>
  <w:style w:type="character" w:styleId="178">
    <w:name w:val="Endnote Text Char"/>
    <w:link w:val="801"/>
    <w:uiPriority w:val="99"/>
    <w:rPr>
      <w:sz w:val="20"/>
    </w:rPr>
  </w:style>
  <w:style w:type="paragraph" w:styleId="189">
    <w:name w:val="TOC Heading"/>
    <w:uiPriority w:val="39"/>
    <w:unhideWhenUsed/>
  </w:style>
  <w:style w:type="paragraph" w:styleId="618" w:default="1">
    <w:name w:val="Normal"/>
    <w:qFormat/>
  </w:style>
  <w:style w:type="paragraph" w:styleId="619">
    <w:name w:val="Heading 1"/>
    <w:basedOn w:val="618"/>
    <w:next w:val="618"/>
    <w:link w:val="638"/>
    <w:qFormat/>
    <w:pPr>
      <w:numPr>
        <w:numId w:val="9"/>
      </w:num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620">
    <w:name w:val="Heading 2"/>
    <w:basedOn w:val="618"/>
    <w:next w:val="618"/>
    <w:link w:val="639"/>
    <w:qFormat/>
    <w:pPr>
      <w:numPr>
        <w:ilvl w:val="1"/>
        <w:numId w:val="9"/>
      </w:numPr>
      <w:ind w:left="0" w:firstLine="0"/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621">
    <w:name w:val="Heading 3"/>
    <w:basedOn w:val="618"/>
    <w:next w:val="618"/>
    <w:link w:val="640"/>
    <w:qFormat/>
    <w:pPr>
      <w:numPr>
        <w:ilvl w:val="2"/>
        <w:numId w:val="9"/>
      </w:numPr>
      <w:ind w:left="720" w:hanging="432"/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622">
    <w:name w:val="Heading 4"/>
    <w:basedOn w:val="618"/>
    <w:next w:val="618"/>
    <w:link w:val="641"/>
    <w:qFormat/>
    <w:pPr>
      <w:numPr>
        <w:ilvl w:val="3"/>
        <w:numId w:val="9"/>
      </w:numPr>
      <w:ind w:left="864" w:hanging="144"/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623">
    <w:name w:val="Heading 5"/>
    <w:basedOn w:val="618"/>
    <w:next w:val="618"/>
    <w:link w:val="642"/>
    <w:qFormat/>
    <w:pPr>
      <w:numPr>
        <w:ilvl w:val="4"/>
        <w:numId w:val="9"/>
      </w:numPr>
      <w:ind w:left="1008" w:hanging="432"/>
      <w:keepLines/>
      <w:keepNext/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624">
    <w:name w:val="Heading 6"/>
    <w:basedOn w:val="618"/>
    <w:next w:val="618"/>
    <w:link w:val="643"/>
    <w:qFormat/>
    <w:pPr>
      <w:numPr>
        <w:ilvl w:val="5"/>
        <w:numId w:val="9"/>
      </w:numPr>
      <w:ind w:left="1152" w:hanging="432"/>
      <w:keepLines/>
      <w:keepNext/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625">
    <w:name w:val="Heading 7"/>
    <w:basedOn w:val="618"/>
    <w:next w:val="618"/>
    <w:link w:val="644"/>
    <w:qFormat/>
    <w:pPr>
      <w:numPr>
        <w:ilvl w:val="6"/>
        <w:numId w:val="9"/>
      </w:numPr>
      <w:ind w:left="1296" w:hanging="288"/>
      <w:keepLines/>
      <w:keepNext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626">
    <w:name w:val="Heading 8"/>
    <w:basedOn w:val="618"/>
    <w:next w:val="618"/>
    <w:link w:val="645"/>
    <w:qFormat/>
    <w:pPr>
      <w:numPr>
        <w:ilvl w:val="7"/>
        <w:numId w:val="9"/>
      </w:numPr>
      <w:ind w:left="1440" w:hanging="432"/>
      <w:keepLines/>
      <w:keepNext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627">
    <w:name w:val="Heading 9"/>
    <w:basedOn w:val="618"/>
    <w:next w:val="618"/>
    <w:link w:val="646"/>
    <w:qFormat/>
    <w:pPr>
      <w:numPr>
        <w:ilvl w:val="8"/>
        <w:numId w:val="9"/>
      </w:numPr>
      <w:ind w:left="1584" w:hanging="144"/>
      <w:keepLines/>
      <w:keepNext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628" w:default="1">
    <w:name w:val="Default Paragraph Font"/>
    <w:uiPriority w:val="1"/>
    <w:semiHidden/>
    <w:unhideWhenUsed/>
  </w:style>
  <w:style w:type="table" w:styleId="6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0" w:default="1">
    <w:name w:val="No List"/>
    <w:uiPriority w:val="99"/>
    <w:semiHidden/>
    <w:unhideWhenUsed/>
  </w:style>
  <w:style w:type="character" w:styleId="631">
    <w:name w:val="Hyperlink"/>
    <w:basedOn w:val="628"/>
    <w:uiPriority w:val="99"/>
    <w:unhideWhenUsed/>
    <w:rPr>
      <w:color w:val="0563c1" w:themeColor="hyperlink"/>
      <w:u w:val="single"/>
    </w:rPr>
  </w:style>
  <w:style w:type="paragraph" w:styleId="632">
    <w:name w:val="HTML Preformatted"/>
    <w:basedOn w:val="618"/>
    <w:link w:val="633"/>
    <w:uiPriority w:val="99"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633" w:customStyle="1">
    <w:name w:val="Стандартный HTML Знак"/>
    <w:basedOn w:val="628"/>
    <w:link w:val="632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634">
    <w:name w:val="List Paragraph"/>
    <w:basedOn w:val="618"/>
    <w:uiPriority w:val="34"/>
    <w:qFormat/>
    <w:pPr>
      <w:contextualSpacing/>
      <w:ind w:left="720"/>
    </w:pPr>
  </w:style>
  <w:style w:type="paragraph" w:styleId="635">
    <w:name w:val="Caption"/>
    <w:basedOn w:val="618"/>
    <w:next w:val="618"/>
    <w:link w:val="636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636" w:customStyle="1">
    <w:name w:val="Название объекта Знак"/>
    <w:link w:val="635"/>
    <w:uiPriority w:val="35"/>
    <w:rPr>
      <w:i/>
      <w:iCs/>
      <w:color w:val="44546a" w:themeColor="text2"/>
      <w:sz w:val="18"/>
      <w:szCs w:val="18"/>
    </w:rPr>
  </w:style>
  <w:style w:type="character" w:styleId="637">
    <w:name w:val="FollowedHyperlink"/>
    <w:basedOn w:val="628"/>
    <w:semiHidden/>
    <w:unhideWhenUsed/>
    <w:rPr>
      <w:color w:val="954f72" w:themeColor="followedHyperlink"/>
      <w:u w:val="single"/>
    </w:rPr>
  </w:style>
  <w:style w:type="character" w:styleId="638" w:customStyle="1">
    <w:name w:val="Заголовок 1 Знак"/>
    <w:basedOn w:val="628"/>
    <w:link w:val="61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639" w:customStyle="1">
    <w:name w:val="Заголовок 2 Знак"/>
    <w:basedOn w:val="628"/>
    <w:link w:val="620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640" w:customStyle="1">
    <w:name w:val="Заголовок 3 Знак"/>
    <w:basedOn w:val="628"/>
    <w:link w:val="621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641" w:customStyle="1">
    <w:name w:val="Заголовок 4 Знак"/>
    <w:basedOn w:val="628"/>
    <w:link w:val="622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642" w:customStyle="1">
    <w:name w:val="Заголовок 5 Знак"/>
    <w:basedOn w:val="628"/>
    <w:link w:val="623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643" w:customStyle="1">
    <w:name w:val="Заголовок 6 Знак"/>
    <w:basedOn w:val="628"/>
    <w:link w:val="624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644" w:customStyle="1">
    <w:name w:val="Заголовок 7 Знак"/>
    <w:basedOn w:val="628"/>
    <w:link w:val="625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645" w:customStyle="1">
    <w:name w:val="Заголовок 8 Знак"/>
    <w:basedOn w:val="628"/>
    <w:link w:val="626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646" w:customStyle="1">
    <w:name w:val="Заголовок 9 Знак"/>
    <w:basedOn w:val="628"/>
    <w:link w:val="627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647">
    <w:name w:val="HTML Address"/>
    <w:basedOn w:val="618"/>
    <w:link w:val="648"/>
    <w:semiHidden/>
    <w:pPr>
      <w:jc w:val="both"/>
      <w:spacing w:after="0" w:line="240" w:lineRule="auto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648" w:customStyle="1">
    <w:name w:val="Адрес HTML Знак"/>
    <w:basedOn w:val="628"/>
    <w:link w:val="647"/>
    <w:semiHidden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649">
    <w:name w:val="envelope address"/>
    <w:basedOn w:val="618"/>
    <w:semiHidden/>
    <w:pPr>
      <w:ind w:left="2880"/>
      <w:jc w:val="both"/>
      <w:spacing w:after="0" w:line="240" w:lineRule="auto"/>
      <w:framePr w:w="7920" w:h="1980" w:hSpace="180" w:wrap="auto" w:hAnchor="page" w:xAlign="center" w:yAlign="bottom" w:hRule="exact"/>
    </w:pPr>
    <w:rPr>
      <w:rFonts w:ascii="Arial" w:hAnsi="Arial" w:eastAsia="Times New Roman" w:cs="Arial"/>
      <w:sz w:val="24"/>
      <w:szCs w:val="24"/>
      <w:lang w:eastAsia="ru-RU"/>
    </w:rPr>
  </w:style>
  <w:style w:type="character" w:styleId="650">
    <w:name w:val="HTML Acronym"/>
    <w:semiHidden/>
  </w:style>
  <w:style w:type="table" w:styleId="651">
    <w:name w:val="Table Web 1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rPr>
      <w:tblCellSpacing w:w="20" w:type="dxa"/>
    </w:trPr>
    <w:tblStylePr w:type="firstRow">
      <w:rPr>
        <w:color w:val="auto"/>
      </w:rPr>
    </w:tblStylePr>
  </w:style>
  <w:style w:type="table" w:styleId="652">
    <w:name w:val="Table Web 2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rPr>
      <w:tblCellSpacing w:w="20" w:type="dxa"/>
    </w:trPr>
    <w:tblStylePr w:type="firstRow">
      <w:rPr>
        <w:color w:val="auto"/>
      </w:rPr>
    </w:tblStylePr>
  </w:style>
  <w:style w:type="table" w:styleId="653">
    <w:name w:val="Table Web 3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single" w:color="000000" w:sz="24" w:space="0"/>
        <w:left w:val="single" w:color="000000" w:sz="24" w:space="0"/>
        <w:bottom w:val="single" w:color="000000" w:sz="24" w:space="0"/>
        <w:right w:val="single" w:color="000000" w:sz="24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rPr>
      <w:tblCellSpacing w:w="20" w:type="dxa"/>
    </w:trPr>
    <w:tblStylePr w:type="firstRow">
      <w:rPr>
        <w:color w:val="auto"/>
      </w:rPr>
    </w:tblStylePr>
  </w:style>
  <w:style w:type="character" w:styleId="654">
    <w:name w:val="Emphasis"/>
    <w:qFormat/>
    <w:rPr>
      <w:i/>
      <w:iCs/>
    </w:rPr>
  </w:style>
  <w:style w:type="paragraph" w:styleId="655">
    <w:name w:val="Date"/>
    <w:basedOn w:val="618"/>
    <w:next w:val="618"/>
    <w:link w:val="656"/>
    <w:semiHidden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56" w:customStyle="1">
    <w:name w:val="Дата Знак"/>
    <w:basedOn w:val="628"/>
    <w:link w:val="655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7">
    <w:name w:val="Note Heading"/>
    <w:basedOn w:val="618"/>
    <w:next w:val="618"/>
    <w:link w:val="658"/>
    <w:semiHidden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58" w:customStyle="1">
    <w:name w:val="Заголовок записки Знак"/>
    <w:basedOn w:val="628"/>
    <w:link w:val="657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59">
    <w:name w:val="Table Elegant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caps/>
        <w:color w:val="auto"/>
      </w:rPr>
    </w:tblStylePr>
  </w:style>
  <w:style w:type="table" w:styleId="660">
    <w:name w:val="Table Subtle 1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pct25" w:color="808000" w:fill="ffffff"/>
        <w:tcBorders>
          <w:bottom w:val="single" w:color="000000" w:sz="6" w:space="0"/>
        </w:tcBorders>
      </w:tcPr>
    </w:tblStylePr>
    <w:tblStylePr w:type="firstCol">
      <w:tcPr>
        <w:tcBorders>
          <w:right w:val="single" w:color="000000" w:sz="12" w:space="0"/>
        </w:tcBorders>
      </w:tcPr>
    </w:tblStylePr>
    <w:tblStylePr w:type="firstRow">
      <w:tcPr>
        <w:tcBorders>
          <w:top w:val="single" w:color="000000" w:sz="6" w:space="0"/>
          <w:bottom w:val="single" w:color="000000" w:sz="12" w:space="0"/>
        </w:tcBorders>
      </w:tcPr>
    </w:tblStylePr>
    <w:tblStylePr w:type="lastCol">
      <w:tcPr>
        <w:tcBorders>
          <w:left w:val="single" w:color="000000" w:sz="12" w:space="0"/>
        </w:tcBorders>
      </w:tcPr>
    </w:tblStylePr>
    <w:tblStylePr w:type="lastRow">
      <w:tcPr>
        <w:shd w:val="pct25" w:color="800080" w:fill="ffffff"/>
        <w:tcBorders>
          <w:top w:val="single" w:color="000000" w:sz="12" w:space="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661">
    <w:name w:val="Table Subtle 2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Col">
      <w:tcPr>
        <w:shd w:val="pct25" w:color="008000" w:fill="ffffff"/>
        <w:tcBorders>
          <w:right w:val="single" w:color="000000" w:sz="12" w:space="0"/>
        </w:tcBorders>
      </w:tcPr>
    </w:tblStylePr>
    <w:tblStylePr w:type="firstRow">
      <w:tcPr>
        <w:tcBorders>
          <w:bottom w:val="single" w:color="000000" w:sz="12" w:space="0"/>
        </w:tcBorders>
      </w:tcPr>
    </w:tblStylePr>
    <w:tblStylePr w:type="lastCol">
      <w:tcPr>
        <w:shd w:val="pct25" w:color="808000" w:fill="ffffff"/>
        <w:tcBorders>
          <w:left w:val="single" w:color="000000" w:sz="12" w:space="0"/>
        </w:tcBorders>
      </w:tcPr>
    </w:tblStylePr>
    <w:tblStylePr w:type="lastRow">
      <w:tcPr>
        <w:tcBorders>
          <w:top w:val="single" w:color="000000" w:sz="12" w:space="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character" w:styleId="662">
    <w:name w:val="HTML Keyboard"/>
    <w:semiHidden/>
    <w:rPr>
      <w:rFonts w:ascii="Courier New" w:hAnsi="Courier New" w:cs="Courier New"/>
      <w:sz w:val="20"/>
      <w:szCs w:val="20"/>
    </w:rPr>
  </w:style>
  <w:style w:type="table" w:styleId="663">
    <w:name w:val="Table Classic 1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12" w:space="0"/>
        <w:bottom w:val="single" w:color="000000" w:sz="1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Col">
      <w:tcPr>
        <w:tcBorders>
          <w:right w:val="single" w:color="000000" w:sz="6" w:space="0"/>
        </w:tcBorders>
      </w:tcPr>
    </w:tblStylePr>
    <w:tblStylePr w:type="firstRow">
      <w:rPr>
        <w:i/>
        <w:iCs/>
      </w:rPr>
      <w:tcPr>
        <w:tcBorders>
          <w:bottom w:val="single" w:color="000000" w:sz="6" w:space="0"/>
        </w:tcBorders>
      </w:tcPr>
    </w:tblStylePr>
    <w:tblStylePr w:type="lastRow">
      <w:rPr>
        <w:color w:val="auto"/>
      </w:rPr>
      <w:tcPr>
        <w:tcBorders>
          <w:top w:val="single" w:color="000000" w:sz="6" w:space="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664">
    <w:name w:val="Table Classic 2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12" w:space="0"/>
        <w:bottom w:val="single" w:color="000000" w:sz="1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Col">
      <w:rPr>
        <w:b/>
        <w:bCs/>
      </w:rPr>
      <w:tcPr>
        <w:shd w:val="solid" w:color="c0c0c0" w:fill="ffffff"/>
      </w:tcPr>
    </w:tblStylePr>
    <w:tblStylePr w:type="firstRow">
      <w:rPr>
        <w:color w:val="ffffff"/>
      </w:rPr>
      <w:tcPr>
        <w:shd w:val="solid" w:color="800080" w:fill="ffffff"/>
        <w:tcBorders>
          <w:bottom w:val="single" w:color="000000" w:sz="6" w:space="0"/>
        </w:tcBorders>
      </w:tcPr>
    </w:tblStylePr>
    <w:tblStylePr w:type="lastRow">
      <w:tcPr>
        <w:tcBorders>
          <w:top w:val="single" w:color="000000" w:sz="6" w:space="0"/>
        </w:tcBorders>
      </w:tcPr>
    </w:tblStylePr>
    <w:tblStylePr w:type="nwCell">
      <w:tcPr>
        <w:shd w:val="solid" w:color="800080" w:fill="ffffff"/>
      </w:tcPr>
    </w:tblStylePr>
    <w:tblStylePr w:type="neCell">
      <w:rPr>
        <w:b/>
        <w:bCs/>
      </w:rPr>
    </w:tblStylePr>
    <w:tblStylePr w:type="swCell">
      <w:rPr>
        <w:color w:val="000080"/>
      </w:rPr>
    </w:tblStylePr>
  </w:style>
  <w:style w:type="table" w:styleId="665">
    <w:name w:val="Table Classic 3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color w:val="000080"/>
      <w:sz w:val="20"/>
      <w:szCs w:val="20"/>
      <w:lang w:eastAsia="ru-RU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solid" w:color="c0c0c0" w:fill="ffffff"/>
    </w:tcPr>
    <w:tblStylePr w:type="firstCol">
      <w:rPr>
        <w:b/>
        <w:bCs/>
        <w:color w:val="000000"/>
      </w:rPr>
    </w:tblStylePr>
    <w:tblStylePr w:type="firstRow">
      <w:rPr>
        <w:b/>
        <w:bCs/>
        <w:i/>
        <w:iCs/>
        <w:color w:val="ffffff"/>
      </w:rPr>
      <w:tcPr>
        <w:shd w:val="solid" w:color="000080" w:fill="ffffff"/>
        <w:tcBorders>
          <w:bottom w:val="single" w:color="000000" w:sz="6" w:space="0"/>
        </w:tcBorders>
      </w:tcPr>
    </w:tblStylePr>
    <w:tblStylePr w:type="lastRow">
      <w:rPr>
        <w:color w:val="000080"/>
      </w:rPr>
      <w:tcPr>
        <w:shd w:val="solid" w:color="ffffff" w:fill="ffffff"/>
        <w:tcBorders>
          <w:top w:val="single" w:color="000000" w:sz="12" w:space="0"/>
        </w:tcBorders>
      </w:tcPr>
    </w:tblStylePr>
  </w:style>
  <w:style w:type="table" w:styleId="666">
    <w:name w:val="Table Classic 4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Col">
      <w:rPr>
        <w:b/>
        <w:bCs/>
      </w:rPr>
    </w:tblStylePr>
    <w:tblStylePr w:type="firstRow">
      <w:rPr>
        <w:b/>
        <w:bCs/>
        <w:i/>
        <w:iCs/>
        <w:color w:val="ffffff"/>
      </w:rPr>
      <w:tcPr>
        <w:shd w:val="pct50" w:color="000080" w:fill="ffffff"/>
        <w:tcBorders>
          <w:bottom w:val="single" w:color="000000" w:sz="6" w:space="0"/>
        </w:tcBorders>
      </w:tcPr>
    </w:tblStylePr>
    <w:tblStylePr w:type="lastRow">
      <w:rPr>
        <w:color w:val="000080"/>
      </w:rPr>
      <w:tcPr>
        <w:shd w:val="pct50" w:color="000000" w:fill="ffffff"/>
        <w:tcBorders>
          <w:bottom w:val="single" w:color="000000" w:sz="6" w:space="0"/>
        </w:tcBorders>
      </w:tc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character" w:styleId="667">
    <w:name w:val="HTML Code"/>
    <w:semiHidden/>
    <w:rPr>
      <w:rFonts w:ascii="Courier New" w:hAnsi="Courier New" w:cs="Courier New"/>
      <w:sz w:val="20"/>
      <w:szCs w:val="20"/>
    </w:rPr>
  </w:style>
  <w:style w:type="paragraph" w:styleId="668" w:customStyle="1">
    <w:name w:val="Список маркер2 (КС)"/>
    <w:pPr>
      <w:numPr>
        <w:numId w:val="6"/>
      </w:num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9">
    <w:name w:val="Body Text Indent"/>
    <w:basedOn w:val="618"/>
    <w:link w:val="670"/>
    <w:semiHidden/>
    <w:pPr>
      <w:ind w:left="283"/>
      <w:jc w:val="both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70" w:customStyle="1">
    <w:name w:val="Основной текст с отступом Знак"/>
    <w:basedOn w:val="628"/>
    <w:link w:val="66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1">
    <w:name w:val="List Bullet"/>
    <w:basedOn w:val="618"/>
    <w:semiHidden/>
    <w:pPr>
      <w:jc w:val="both"/>
      <w:spacing w:after="0" w:line="240" w:lineRule="auto"/>
      <w:tabs>
        <w:tab w:val="num" w:pos="1429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2">
    <w:name w:val="List Bullet 2"/>
    <w:basedOn w:val="618"/>
    <w:semiHidden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3">
    <w:name w:val="List Bullet 3"/>
    <w:basedOn w:val="618"/>
    <w:semiHidden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4">
    <w:name w:val="List Bullet 4"/>
    <w:basedOn w:val="618"/>
    <w:semiHidden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5">
    <w:name w:val="List Bullet 5"/>
    <w:basedOn w:val="618"/>
    <w:semiHidden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76">
    <w:name w:val="page number"/>
    <w:semiHidden/>
  </w:style>
  <w:style w:type="character" w:styleId="677">
    <w:name w:val="line number"/>
    <w:semiHidden/>
  </w:style>
  <w:style w:type="paragraph" w:styleId="678">
    <w:name w:val="List Number"/>
    <w:basedOn w:val="618"/>
    <w:semiHidden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9">
    <w:name w:val="List Number 2"/>
    <w:basedOn w:val="618"/>
    <w:semiHidden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0">
    <w:name w:val="List Number 3"/>
    <w:basedOn w:val="618"/>
    <w:semiHidden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1">
    <w:name w:val="List Number 4"/>
    <w:basedOn w:val="618"/>
    <w:semiHidden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2">
    <w:name w:val="List Number 5"/>
    <w:basedOn w:val="618"/>
    <w:semiHidden/>
    <w:pPr>
      <w:jc w:val="both"/>
      <w:spacing w:after="0" w:line="240" w:lineRule="auto"/>
      <w:tabs>
        <w:tab w:val="num" w:pos="1492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83">
    <w:name w:val="HTML Sample"/>
    <w:semiHidden/>
    <w:rPr>
      <w:rFonts w:ascii="Courier New" w:hAnsi="Courier New" w:cs="Courier New"/>
    </w:rPr>
  </w:style>
  <w:style w:type="paragraph" w:styleId="684">
    <w:name w:val="envelope return"/>
    <w:basedOn w:val="618"/>
    <w:semiHidden/>
    <w:pPr>
      <w:jc w:val="both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table" w:styleId="685">
    <w:name w:val="Table 3D effects 1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left w:w="108" w:type="dxa"/>
        <w:top w:w="0" w:type="dxa"/>
        <w:right w:w="108" w:type="dxa"/>
        <w:bottom w:w="0" w:type="dxa"/>
      </w:tblCellMar>
    </w:tblPr>
    <w:tcPr>
      <w:shd w:val="solid" w:color="c0c0c0" w:fill="ffffff"/>
    </w:tcPr>
    <w:tblStylePr w:type="firstCol">
      <w:rPr>
        <w:b/>
        <w:bCs/>
      </w:rPr>
      <w:tcPr>
        <w:tcBorders>
          <w:right w:val="single" w:color="808080" w:sz="6" w:space="0"/>
        </w:tcBorders>
      </w:tcPr>
    </w:tblStylePr>
    <w:tblStylePr w:type="firstRow">
      <w:rPr>
        <w:b/>
        <w:bCs/>
        <w:color w:val="800080"/>
      </w:rPr>
      <w:tcPr>
        <w:tcBorders>
          <w:bottom w:val="single" w:color="808080" w:sz="6" w:space="0"/>
        </w:tcBorders>
      </w:tcPr>
    </w:tblStylePr>
    <w:tblStylePr w:type="lastCol">
      <w:tcPr>
        <w:tcBorders>
          <w:left w:val="single" w:color="FFFFFF" w:sz="6" w:space="0"/>
        </w:tcBorders>
      </w:tcPr>
    </w:tblStylePr>
    <w:tblStylePr w:type="lastRow">
      <w:tcPr>
        <w:tcBorders>
          <w:top w:val="single" w:color="FFFFFF" w:sz="6" w:space="0"/>
        </w:tcBorders>
      </w:tcPr>
    </w:tblStylePr>
    <w:tblStylePr w:type="nwCell">
      <w:tcPr>
        <w:tcBorders>
          <w:bottom w:val="none" w:color="auto" w:sz="0" w:space="0"/>
          <w:right w:val="none" w:color="auto" w:sz="0" w:space="0"/>
        </w:tcBorders>
      </w:tcPr>
    </w:tblStylePr>
    <w:tblStylePr w:type="neCell">
      <w:tcPr>
        <w:tcBorders>
          <w:left w:val="none" w:color="auto" w:sz="0" w:space="0"/>
          <w:bottom w:val="none" w:color="auto" w:sz="0" w:space="0"/>
        </w:tcBorders>
      </w:tcPr>
    </w:tblStylePr>
    <w:tblStylePr w:type="swCell">
      <w:rPr>
        <w:color w:val="000080"/>
      </w:rPr>
      <w:tcPr>
        <w:tcBorders>
          <w:top w:val="none" w:color="auto" w:sz="0" w:space="0"/>
          <w:right w:val="none" w:color="auto" w:sz="0" w:space="0"/>
        </w:tcBorders>
      </w:tcPr>
    </w:tblStylePr>
    <w:tblStylePr w:type="seCell">
      <w:tcPr>
        <w:tcBorders>
          <w:top w:val="none" w:color="auto" w:sz="0" w:space="0"/>
          <w:left w:val="none" w:color="auto" w:sz="0" w:space="0"/>
        </w:tcBorders>
      </w:tcPr>
    </w:tblStylePr>
  </w:style>
  <w:style w:type="table" w:styleId="686">
    <w:name w:val="Table 3D effects 2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CellMar>
        <w:left w:w="108" w:type="dxa"/>
        <w:top w:w="0" w:type="dxa"/>
        <w:right w:w="108" w:type="dxa"/>
        <w:bottom w:w="0" w:type="dxa"/>
      </w:tblCellMar>
    </w:tblPr>
    <w:tcPr>
      <w:shd w:val="solid" w:color="c0c0c0" w:fill="ffffff"/>
    </w:tcPr>
    <w:tblStylePr w:type="band1Horz">
      <w:tcPr>
        <w:tcBorders>
          <w:top w:val="single" w:color="808080" w:sz="6" w:space="0"/>
          <w:bottom w:val="single" w:color="FFFFFF" w:sz="6" w:space="0"/>
        </w:tcBorders>
      </w:tcPr>
    </w:tblStylePr>
    <w:tblStylePr w:type="firstCol">
      <w:tcPr>
        <w:tcBorders>
          <w:top w:val="none" w:color="auto" w:sz="0" w:space="0"/>
          <w:bottom w:val="none" w:color="auto" w:sz="0" w:space="0"/>
          <w:right w:val="single" w:color="808080" w:sz="6" w:space="0"/>
        </w:tcBorders>
      </w:tcPr>
    </w:tblStylePr>
    <w:tblStylePr w:type="firstRow">
      <w:rPr>
        <w:b/>
        <w:bCs/>
      </w:rPr>
    </w:tblStylePr>
    <w:tblStylePr w:type="lastCol">
      <w:tcPr>
        <w:tcBorders>
          <w:right w:val="single" w:color="FFFFFF" w:sz="6" w:space="0"/>
        </w:tcBorders>
      </w:tcPr>
    </w:tblStylePr>
    <w:tblStylePr w:type="swCell">
      <w:rPr>
        <w:b/>
        <w:bCs/>
      </w:rPr>
    </w:tblStylePr>
  </w:style>
  <w:style w:type="table" w:styleId="687">
    <w:name w:val="Table 3D effects 3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808080" w:sz="6" w:space="0"/>
          <w:bottom w:val="single" w:color="FFFFFF" w:sz="6" w:space="0"/>
        </w:tcBorders>
      </w:tcPr>
    </w:tblStyle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50" w:color="c0c0c0" w:fill="ffffff"/>
      </w:tcPr>
    </w:tblStylePr>
    <w:tblStylePr w:type="firstCol">
      <w:tcPr>
        <w:tcBorders>
          <w:top w:val="none" w:color="auto" w:sz="0" w:space="0"/>
          <w:bottom w:val="none" w:color="auto" w:sz="0" w:space="0"/>
          <w:right w:val="single" w:color="808080" w:sz="6" w:space="0"/>
        </w:tcBorders>
      </w:tcPr>
    </w:tblStylePr>
    <w:tblStylePr w:type="firstRow">
      <w:rPr>
        <w:b/>
        <w:bCs/>
      </w:rPr>
    </w:tblStylePr>
    <w:tblStylePr w:type="lastCol">
      <w:tcPr>
        <w:tcBorders>
          <w:right w:val="single" w:color="FFFFFF" w:sz="6" w:space="0"/>
        </w:tcBorders>
      </w:tcPr>
    </w:tblStylePr>
    <w:tblStylePr w:type="swCell">
      <w:rPr>
        <w:b/>
        <w:bCs/>
      </w:rPr>
    </w:tblStylePr>
  </w:style>
  <w:style w:type="character" w:styleId="688">
    <w:name w:val="HTML Definition"/>
    <w:semiHidden/>
    <w:rPr>
      <w:i/>
      <w:iCs/>
    </w:rPr>
  </w:style>
  <w:style w:type="paragraph" w:styleId="689">
    <w:name w:val="Body Text 2"/>
    <w:basedOn w:val="618"/>
    <w:link w:val="690"/>
    <w:semiHidden/>
    <w:pPr>
      <w:jc w:val="both"/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0" w:customStyle="1">
    <w:name w:val="Основной текст 2 Знак"/>
    <w:basedOn w:val="628"/>
    <w:link w:val="68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1">
    <w:name w:val="Body Text 3"/>
    <w:basedOn w:val="618"/>
    <w:link w:val="692"/>
    <w:semiHidden/>
    <w:pPr>
      <w:jc w:val="both"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692" w:customStyle="1">
    <w:name w:val="Основной текст 3 Знак"/>
    <w:basedOn w:val="628"/>
    <w:link w:val="691"/>
    <w:semiHidden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93">
    <w:name w:val="Body Text Indent 2"/>
    <w:basedOn w:val="618"/>
    <w:link w:val="694"/>
    <w:semiHidden/>
    <w:pPr>
      <w:ind w:left="283"/>
      <w:jc w:val="both"/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4" w:customStyle="1">
    <w:name w:val="Основной текст с отступом 2 Знак"/>
    <w:basedOn w:val="628"/>
    <w:link w:val="693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5">
    <w:name w:val="Body Text Indent 3"/>
    <w:basedOn w:val="618"/>
    <w:link w:val="696"/>
    <w:semiHidden/>
    <w:pPr>
      <w:ind w:left="283"/>
      <w:jc w:val="both"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696" w:customStyle="1">
    <w:name w:val="Основной текст с отступом 3 Знак"/>
    <w:basedOn w:val="628"/>
    <w:link w:val="695"/>
    <w:semiHidden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697">
    <w:name w:val="HTML Variable"/>
    <w:semiHidden/>
    <w:rPr>
      <w:i/>
      <w:iCs/>
    </w:rPr>
  </w:style>
  <w:style w:type="character" w:styleId="698">
    <w:name w:val="HTML Typewriter"/>
    <w:semiHidden/>
    <w:rPr>
      <w:rFonts w:ascii="Courier New" w:hAnsi="Courier New" w:cs="Courier New"/>
      <w:sz w:val="20"/>
      <w:szCs w:val="20"/>
    </w:rPr>
  </w:style>
  <w:style w:type="paragraph" w:styleId="699">
    <w:name w:val="Subtitle"/>
    <w:basedOn w:val="618"/>
    <w:link w:val="700"/>
    <w:qFormat/>
    <w:pPr>
      <w:jc w:val="center"/>
      <w:spacing w:after="60" w:line="240" w:lineRule="auto"/>
      <w:outlineLvl w:val="1"/>
    </w:pPr>
    <w:rPr>
      <w:rFonts w:ascii="Arial" w:hAnsi="Arial" w:eastAsia="Times New Roman" w:cs="Arial"/>
      <w:sz w:val="24"/>
      <w:szCs w:val="24"/>
      <w:lang w:eastAsia="ru-RU"/>
    </w:rPr>
  </w:style>
  <w:style w:type="character" w:styleId="700" w:customStyle="1">
    <w:name w:val="Подзаголовок Знак"/>
    <w:basedOn w:val="628"/>
    <w:link w:val="699"/>
    <w:rPr>
      <w:rFonts w:ascii="Arial" w:hAnsi="Arial" w:eastAsia="Times New Roman" w:cs="Arial"/>
      <w:sz w:val="24"/>
      <w:szCs w:val="24"/>
      <w:lang w:eastAsia="ru-RU"/>
    </w:rPr>
  </w:style>
  <w:style w:type="paragraph" w:styleId="701">
    <w:name w:val="Signature"/>
    <w:basedOn w:val="618"/>
    <w:link w:val="702"/>
    <w:semiHidden/>
    <w:pPr>
      <w:ind w:left="4252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2" w:customStyle="1">
    <w:name w:val="Подпись Знак"/>
    <w:basedOn w:val="628"/>
    <w:link w:val="701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3">
    <w:name w:val="Salutation"/>
    <w:basedOn w:val="618"/>
    <w:next w:val="618"/>
    <w:link w:val="704"/>
    <w:semiHidden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4" w:customStyle="1">
    <w:name w:val="Приветствие Знак"/>
    <w:basedOn w:val="628"/>
    <w:link w:val="703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5">
    <w:name w:val="List Continue"/>
    <w:basedOn w:val="618"/>
    <w:semiHidden/>
    <w:pPr>
      <w:ind w:left="283"/>
      <w:jc w:val="both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6">
    <w:name w:val="List Continue 2"/>
    <w:basedOn w:val="618"/>
    <w:semiHidden/>
    <w:pPr>
      <w:ind w:left="566"/>
      <w:jc w:val="both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7">
    <w:name w:val="List Continue 3"/>
    <w:basedOn w:val="618"/>
    <w:semiHidden/>
    <w:pPr>
      <w:ind w:left="849"/>
      <w:jc w:val="both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8">
    <w:name w:val="List Continue 4"/>
    <w:basedOn w:val="618"/>
    <w:semiHidden/>
    <w:pPr>
      <w:ind w:left="1132"/>
      <w:jc w:val="both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9">
    <w:name w:val="List Continue 5"/>
    <w:basedOn w:val="618"/>
    <w:semiHidden/>
    <w:pPr>
      <w:ind w:left="1415"/>
      <w:jc w:val="both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10">
    <w:name w:val="Table Simple 1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8000" w:sz="12" w:space="0"/>
        <w:bottom w:val="single" w:color="008000" w:sz="1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tcPr>
        <w:tcBorders>
          <w:bottom w:val="single" w:color="008000" w:sz="6" w:space="0"/>
        </w:tcBorders>
      </w:tcPr>
    </w:tblStylePr>
    <w:tblStylePr w:type="lastRow">
      <w:tcPr>
        <w:tcBorders>
          <w:top w:val="single" w:color="008000" w:sz="6" w:space="0"/>
        </w:tcBorders>
      </w:tcPr>
    </w:tblStylePr>
  </w:style>
  <w:style w:type="table" w:styleId="711">
    <w:name w:val="Table Simple 2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left w:w="108" w:type="dxa"/>
        <w:top w:w="0" w:type="dxa"/>
        <w:right w:w="108" w:type="dxa"/>
        <w:bottom w:w="0" w:type="dxa"/>
      </w:tblCellMar>
    </w:tblPr>
    <w:tblStylePr w:type="firstCol">
      <w:rPr>
        <w:b/>
        <w:bCs/>
      </w:rPr>
      <w:tcPr>
        <w:tcBorders>
          <w:right w:val="single" w:color="000000" w:sz="12" w:space="0"/>
        </w:tcBorders>
      </w:tcPr>
    </w:tblStylePr>
    <w:tblStylePr w:type="firstRow">
      <w:rPr>
        <w:b/>
        <w:bCs/>
      </w:rPr>
      <w:tcPr>
        <w:tcBorders>
          <w:bottom w:val="single" w:color="000000" w:sz="12" w:space="0"/>
        </w:tcBorders>
      </w:tcPr>
    </w:tblStylePr>
    <w:tblStylePr w:type="lastCol">
      <w:rPr>
        <w:b/>
        <w:bCs/>
      </w:rPr>
      <w:tcPr>
        <w:tcBorders>
          <w:left w:val="single" w:color="000000" w:sz="6" w:space="0"/>
        </w:tcBorders>
      </w:tcPr>
    </w:tblStylePr>
    <w:tblStylePr w:type="lastRow">
      <w:rPr>
        <w:b/>
        <w:bCs/>
        <w:color w:val="auto"/>
      </w:rPr>
      <w:tcPr>
        <w:tcBorders>
          <w:top w:val="single" w:color="000000" w:sz="6" w:space="0"/>
        </w:tcBorders>
      </w:tcPr>
    </w:tblStylePr>
    <w:tblStylePr w:type="neCell">
      <w:rPr>
        <w:b/>
        <w:bCs/>
      </w:rPr>
      <w:tcPr>
        <w:tcBorders>
          <w:left w:val="none" w:color="auto" w:sz="0" w:space="0"/>
        </w:tcBorders>
      </w:tcPr>
    </w:tblStylePr>
    <w:tblStylePr w:type="swCell">
      <w:rPr>
        <w:b/>
        <w:bCs/>
      </w:rPr>
      <w:tcPr>
        <w:tcBorders>
          <w:top w:val="none" w:color="auto" w:sz="0" w:space="0"/>
        </w:tcBorders>
      </w:tcPr>
    </w:tblStylePr>
  </w:style>
  <w:style w:type="table" w:styleId="712">
    <w:name w:val="Table Simple 3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bCs/>
        <w:color w:val="ffffff"/>
      </w:rPr>
      <w:tcPr>
        <w:shd w:val="solid" w:color="000000" w:fill="ffffff"/>
      </w:tcPr>
    </w:tblStylePr>
  </w:style>
  <w:style w:type="paragraph" w:styleId="713">
    <w:name w:val="Closing"/>
    <w:basedOn w:val="618"/>
    <w:link w:val="714"/>
    <w:semiHidden/>
    <w:pPr>
      <w:ind w:left="4252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14" w:customStyle="1">
    <w:name w:val="Прощание Знак"/>
    <w:basedOn w:val="628"/>
    <w:link w:val="713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15">
    <w:name w:val="Table Grid"/>
    <w:basedOn w:val="62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1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lastCol">
      <w:rPr>
        <w:i/>
        <w:iCs/>
      </w:rPr>
    </w:tblStylePr>
    <w:tblStylePr w:type="lastRow">
      <w:rPr>
        <w:i/>
        <w:iCs/>
      </w:rPr>
    </w:tblStylePr>
  </w:style>
  <w:style w:type="table" w:styleId="717">
    <w:name w:val="Table Grid 2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sz="6" w:space="0"/>
        </w:tcBorders>
      </w:tcPr>
    </w:tblStylePr>
  </w:style>
  <w:style w:type="table" w:styleId="718">
    <w:name w:val="Table Grid 3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tcPr>
        <w:shd w:val="pct30" w:color="ffff00" w:fill="ffffff"/>
        <w:tcBorders>
          <w:bottom w:val="single" w:color="000000" w:sz="6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719">
    <w:name w:val="Table Grid 4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color w:val="auto"/>
      </w:rPr>
      <w:tcPr>
        <w:shd w:val="pct30" w:color="ffff00" w:fill="ffffff"/>
        <w:tcBorders>
          <w:bottom w:val="single" w:color="000000" w:sz="6" w:space="0"/>
        </w:tcBorders>
      </w:tcPr>
    </w:tblStylePr>
    <w:tblStylePr w:type="lastCol">
      <w:rPr>
        <w:b/>
        <w:bCs/>
        <w:color w:val="auto"/>
      </w:rPr>
    </w:tblStylePr>
    <w:tblStylePr w:type="lastRow">
      <w:rPr>
        <w:b/>
        <w:bCs/>
        <w:color w:val="auto"/>
      </w:rPr>
      <w:tcPr>
        <w:shd w:val="pct30" w:color="ffff00" w:fill="ffffff"/>
        <w:tcBorders>
          <w:top w:val="single" w:color="000000" w:sz="6" w:space="0"/>
        </w:tcBorders>
      </w:tcPr>
    </w:tblStylePr>
  </w:style>
  <w:style w:type="table" w:styleId="720">
    <w:name w:val="Table Grid 5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tcPr>
        <w:tcBorders>
          <w:bottom w:val="single" w:color="000000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721">
    <w:name w:val="Table Grid 6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000000" w:sz="6" w:space="0"/>
        </w:tcBorders>
      </w:tcPr>
    </w:tblStylePr>
    <w:tblStylePr w:type="lastRow">
      <w:rPr>
        <w:color w:val="auto"/>
      </w:rPr>
      <w:tcPr>
        <w:tcBorders>
          <w:top w:val="single" w:color="000000" w:sz="6" w:space="0"/>
        </w:tcBorders>
      </w:tcPr>
    </w:tblStylePr>
  </w:style>
  <w:style w:type="table" w:styleId="722">
    <w:name w:val="Table Grid 7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table" w:styleId="723">
    <w:name w:val="Table Grid 8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bCs/>
        <w:color w:val="ffffff"/>
      </w:rPr>
      <w:tcPr>
        <w:shd w:val="solid" w:color="000080" w:fill="ffffff"/>
      </w:tcPr>
    </w:tblStylePr>
    <w:tblStylePr w:type="lastCol">
      <w:rPr>
        <w:b/>
        <w:bCs/>
        <w:color w:val="auto"/>
      </w:rPr>
    </w:tblStylePr>
    <w:tblStylePr w:type="lastRow">
      <w:rPr>
        <w:b/>
        <w:bCs/>
        <w:color w:val="auto"/>
      </w:rPr>
    </w:tblStylePr>
  </w:style>
  <w:style w:type="table" w:styleId="724">
    <w:name w:val="Table Contemporary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Borders>
        <w:insideH w:val="single" w:color="FFFFFF" w:sz="18" w:space="0"/>
        <w:insideV w:val="single" w:color="FFFFFF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  <w:tblStylePr w:type="firstRow">
      <w:rPr>
        <w:b/>
        <w:bCs/>
        <w:color w:val="auto"/>
      </w:rPr>
      <w:tcPr>
        <w:shd w:val="pct20" w:color="000000" w:fill="ffffff"/>
      </w:tcPr>
    </w:tblStylePr>
  </w:style>
  <w:style w:type="paragraph" w:styleId="725">
    <w:name w:val="List"/>
    <w:basedOn w:val="618"/>
    <w:semiHidden/>
    <w:pPr>
      <w:ind w:left="283" w:hanging="283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26">
    <w:name w:val="List 2"/>
    <w:basedOn w:val="618"/>
    <w:semiHidden/>
    <w:pPr>
      <w:ind w:left="566" w:hanging="283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27">
    <w:name w:val="List 3"/>
    <w:basedOn w:val="618"/>
    <w:semiHidden/>
    <w:pPr>
      <w:ind w:left="849" w:hanging="283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28">
    <w:name w:val="List 4"/>
    <w:basedOn w:val="618"/>
    <w:semiHidden/>
    <w:pPr>
      <w:ind w:left="1132" w:hanging="283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29">
    <w:name w:val="List 5"/>
    <w:basedOn w:val="618"/>
    <w:semiHidden/>
    <w:pPr>
      <w:ind w:left="1415" w:hanging="283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30">
    <w:name w:val="Table Professional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styleId="731">
    <w:name w:val="Table Columns 1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Vert">
      <w:rPr>
        <w:color w:val="auto"/>
      </w:rPr>
      <w:tcPr>
        <w:shd w:val="pct25" w:color="000000" w:fill="ffffff"/>
      </w:tcPr>
    </w:tblStylePr>
    <w:tblStylePr w:type="band2Vert">
      <w:rPr>
        <w:color w:val="auto"/>
      </w:rPr>
      <w:tcPr>
        <w:shd w:val="pct25" w:color="ffff00" w:fill="ffffff"/>
      </w:tcPr>
    </w:tblStyle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6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732">
    <w:name w:val="Table Columns 2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  <w:tblPr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Vert">
      <w:rPr>
        <w:color w:val="auto"/>
      </w:rPr>
      <w:tcPr>
        <w:shd w:val="pct30" w:color="000000" w:fill="ffffff"/>
      </w:tcPr>
    </w:tblStylePr>
    <w:tblStylePr w:type="band2Vert">
      <w:rPr>
        <w:color w:val="auto"/>
      </w:rPr>
      <w:tcPr>
        <w:shd w:val="pct25" w:color="00ff00" w:fill="ffffff"/>
      </w:tcPr>
    </w:tblStylePr>
    <w:tblStylePr w:type="firstCol">
      <w:rPr>
        <w:b w:val="0"/>
        <w:bCs w:val="0"/>
        <w:color w:val="000000"/>
      </w:rPr>
    </w:tblStylePr>
    <w:tblStylePr w:type="firstRow">
      <w:rPr>
        <w:color w:val="ffffff"/>
      </w:rPr>
      <w:tcPr>
        <w:shd w:val="solid" w:color="000080" w:fill="ffffff"/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733">
    <w:name w:val="Table Columns 3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firstCol">
      <w:rPr>
        <w:b w:val="0"/>
        <w:bCs w:val="0"/>
      </w:rPr>
    </w:tblStylePr>
    <w:tblStylePr w:type="firstRow">
      <w:rPr>
        <w:color w:val="ffffff"/>
      </w:rPr>
      <w:tcPr>
        <w:shd w:val="solid" w:color="000080" w:fill="ffffff"/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80" w:sz="6" w:space="0"/>
        </w:tcBorders>
      </w:tcPr>
    </w:tblStylePr>
    <w:tblStylePr w:type="neCell">
      <w:rPr>
        <w:b/>
        <w:bCs/>
      </w:rPr>
    </w:tblStylePr>
  </w:style>
  <w:style w:type="table" w:styleId="734">
    <w:name w:val="Table Columns 4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Vert">
      <w:rPr>
        <w:color w:val="auto"/>
      </w:rPr>
      <w:tcPr>
        <w:shd w:val="pct50" w:color="00808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firstRow">
      <w:rPr>
        <w:color w:val="ffffff"/>
      </w:rPr>
      <w:tcPr>
        <w:shd w:val="solid" w:color="000000" w:fill="ffffff"/>
      </w:tc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735">
    <w:name w:val="Table Columns 5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</w:tblStylePr>
    <w:tblStylePr w:type="firstCol">
      <w:rPr>
        <w:b/>
        <w:bCs/>
      </w:rPr>
    </w:tblStylePr>
    <w:tblStylePr w:type="firstRow">
      <w:rPr>
        <w:b/>
        <w:bCs/>
        <w:i/>
        <w:iCs/>
      </w:rPr>
      <w:tcPr>
        <w:tcBorders>
          <w:bottom w:val="single" w:color="808080" w:sz="6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08080" w:sz="6" w:space="0"/>
        </w:tcBorders>
      </w:tcPr>
    </w:tblStylePr>
  </w:style>
  <w:style w:type="character" w:styleId="736">
    <w:name w:val="Strong"/>
    <w:qFormat/>
    <w:rPr>
      <w:b/>
      <w:bCs/>
    </w:rPr>
  </w:style>
  <w:style w:type="table" w:styleId="737">
    <w:name w:val="Table List 1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uto"/>
      </w:rPr>
      <w:tcPr>
        <w:shd w:val="solid" w:color="c0c0c0" w:fill="ffffff"/>
      </w:tcPr>
    </w:tblStylePr>
    <w:tblStylePr w:type="band2Horz">
      <w:rPr>
        <w:color w:val="auto"/>
      </w:rPr>
    </w:tblStylePr>
    <w:tblStylePr w:type="firstRow">
      <w:rPr>
        <w:b/>
        <w:bCs/>
        <w:i/>
        <w:iCs/>
        <w:color w:val="800000"/>
      </w:rPr>
      <w:tcPr>
        <w:shd w:val="solid" w:color="c0c0c0" w:fill="ffffff"/>
        <w:tcBorders>
          <w:bottom w:val="single" w:color="000000" w:sz="6" w:space="0"/>
        </w:tcBorders>
      </w:tcPr>
    </w:tblStylePr>
    <w:tblStylePr w:type="lastRow">
      <w:tcPr>
        <w:tcBorders>
          <w:top w:val="single" w:color="000000" w:sz="6" w:space="0"/>
        </w:tcBorders>
      </w:tcPr>
    </w:tblStylePr>
    <w:tblStylePr w:type="swCell">
      <w:rPr>
        <w:b/>
        <w:bCs/>
      </w:rPr>
    </w:tblStylePr>
  </w:style>
  <w:style w:type="table" w:styleId="738">
    <w:name w:val="Table List 2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2"/>
      <w:tblBorders>
        <w:bottom w:val="single" w:color="808080" w:sz="1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uto"/>
      </w:rPr>
      <w:tcPr>
        <w:shd w:val="pct20" w:color="00ff00" w:fill="ffffff"/>
      </w:tcPr>
    </w:tblStylePr>
    <w:tblStylePr w:type="band2Horz">
      <w:rPr>
        <w:color w:val="auto"/>
      </w:rPr>
    </w:tblStylePr>
    <w:tblStylePr w:type="firstRow">
      <w:rPr>
        <w:b/>
        <w:bCs/>
        <w:color w:val="ffffff"/>
      </w:rPr>
      <w:tcPr>
        <w:shd w:val="pct75" w:color="008080" w:fill="008000"/>
        <w:tcBorders>
          <w:bottom w:val="single" w:color="000000" w:sz="6" w:space="0"/>
        </w:tcBorders>
      </w:tcPr>
    </w:tblStylePr>
    <w:tblStylePr w:type="lastRow">
      <w:tcPr>
        <w:tcBorders>
          <w:top w:val="single" w:color="000000" w:sz="6" w:space="0"/>
        </w:tcBorders>
      </w:tcPr>
    </w:tblStylePr>
    <w:tblStylePr w:type="swCell">
      <w:rPr>
        <w:b/>
        <w:bCs/>
      </w:rPr>
    </w:tblStylePr>
  </w:style>
  <w:style w:type="table" w:styleId="739">
    <w:name w:val="Table List 3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bCs/>
        <w:color w:val="000080"/>
      </w:rPr>
      <w:tcPr>
        <w:tcBorders>
          <w:bottom w:val="single" w:color="000000" w:sz="12" w:space="0"/>
        </w:tcBorders>
      </w:tcPr>
    </w:tblStylePr>
    <w:tblStylePr w:type="lastRow">
      <w:tcPr>
        <w:tcBorders>
          <w:top w:val="single" w:color="000000" w:sz="12" w:space="0"/>
        </w:tcBorders>
      </w:tcPr>
    </w:tblStylePr>
    <w:tblStylePr w:type="swCell">
      <w:rPr>
        <w:i/>
        <w:iCs/>
        <w:color w:val="000080"/>
      </w:rPr>
    </w:tblStylePr>
  </w:style>
  <w:style w:type="table" w:styleId="740">
    <w:name w:val="Table List 4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bCs/>
        <w:color w:val="ffffff"/>
      </w:rPr>
      <w:tcPr>
        <w:shd w:val="solid" w:color="808080" w:fill="ffffff"/>
        <w:tcBorders>
          <w:bottom w:val="single" w:color="000000" w:sz="12" w:space="0"/>
        </w:tcBorders>
      </w:tcPr>
    </w:tblStylePr>
  </w:style>
  <w:style w:type="table" w:styleId="741">
    <w:name w:val="Table List 5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000000" w:sz="12" w:space="0"/>
        </w:tcBorders>
      </w:tcPr>
    </w:tblStylePr>
  </w:style>
  <w:style w:type="table" w:styleId="742">
    <w:name w:val="Table List 6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pct50" w:color="000000" w:fill="ffffff"/>
    </w:tcPr>
    <w:tblStylePr w:type="band1Horz">
      <w:tcPr>
        <w:shd w:val="pct25" w:color="000000" w:fill="ffffff"/>
      </w:tcPr>
    </w:tblStylePr>
    <w:tblStylePr w:type="firstCol">
      <w:rPr>
        <w:b/>
        <w:bCs/>
      </w:rPr>
      <w:tcPr>
        <w:tcBorders>
          <w:right w:val="single" w:color="000000" w:sz="12" w:space="0"/>
        </w:tcBorders>
      </w:tcPr>
    </w:tblStylePr>
    <w:tblStylePr w:type="firstRow">
      <w:rPr>
        <w:b/>
        <w:bCs/>
      </w:rPr>
      <w:tcPr>
        <w:tcBorders>
          <w:bottom w:val="single" w:color="000000" w:sz="12" w:space="0"/>
        </w:tcBorders>
      </w:tcPr>
    </w:tblStylePr>
  </w:style>
  <w:style w:type="table" w:styleId="743">
    <w:name w:val="Table List 7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solid" w:color="c0c0c0" w:fill="ffffff"/>
        <w:tcBorders>
          <w:bottom w:val="single" w:color="008000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8000" w:sz="12" w:space="0"/>
        </w:tcBorders>
      </w:tcPr>
    </w:tblStylePr>
  </w:style>
  <w:style w:type="table" w:styleId="744">
    <w:name w:val="Table List 8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uto"/>
      </w:rPr>
      <w:tcPr>
        <w:shd w:val="pct25" w:color="ffff00" w:fill="ffffff"/>
      </w:tcPr>
    </w:tblStylePr>
    <w:tblStylePr w:type="band2Horz">
      <w:tcPr>
        <w:shd w:val="pct50" w:color="ff0000" w:fill="ffffff"/>
      </w:tcPr>
    </w:tblStylePr>
    <w:tblStylePr w:type="firstCol">
      <w:rPr>
        <w:b/>
        <w:bCs/>
      </w:rPr>
    </w:tblStylePr>
    <w:tblStylePr w:type="firstRow">
      <w:rPr>
        <w:b/>
        <w:bCs/>
        <w:i/>
        <w:iCs/>
      </w:rPr>
      <w:tcPr>
        <w:shd w:val="solid" w:color="ffff00" w:fill="ffffff"/>
        <w:tcBorders>
          <w:bottom w:val="single" w:color="000000" w:sz="6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sz="6" w:space="0"/>
        </w:tcBorders>
      </w:tcPr>
    </w:tblStylePr>
  </w:style>
  <w:style w:type="paragraph" w:styleId="745" w:customStyle="1">
    <w:name w:val="Название таблицы (КС)"/>
    <w:pPr>
      <w:numPr>
        <w:numId w:val="4"/>
      </w:numPr>
      <w:jc w:val="center"/>
      <w:keepNext/>
      <w:spacing w:before="240" w:after="24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46">
    <w:name w:val="Table Colorful 1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color w:val="ffffff"/>
      <w:sz w:val="20"/>
      <w:szCs w:val="20"/>
      <w:lang w:eastAsia="ru-RU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solid" w:color="008080" w:fill="ffffff"/>
    </w:tcPr>
    <w:tblStylePr w:type="firstCol">
      <w:rPr>
        <w:b/>
        <w:bCs/>
        <w:i/>
        <w:iCs/>
      </w:rPr>
      <w:tcPr>
        <w:shd w:val="solid" w:color="000080" w:fill="ffffff"/>
      </w:tcPr>
    </w:tblStylePr>
    <w:tblStylePr w:type="firstRow">
      <w:rPr>
        <w:b/>
        <w:bCs/>
        <w:i/>
        <w:iCs/>
      </w:rPr>
      <w:tcPr>
        <w:shd w:val="solid" w:color="000000" w:fill="ffffff"/>
      </w:tcPr>
    </w:tblStylePr>
    <w:tblStylePr w:type="nwCell"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747">
    <w:name w:val="Table Colorful 2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bottom w:val="single" w:color="000000" w:sz="1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pct20" w:color="ffff00" w:fill="ffffff"/>
    </w:tcPr>
    <w:tblStylePr w:type="firstCol">
      <w:rPr>
        <w:b/>
        <w:bCs/>
        <w:i/>
        <w:iCs/>
      </w:rPr>
    </w:tblStylePr>
    <w:tblStylePr w:type="firstRow">
      <w:rPr>
        <w:b/>
        <w:bCs/>
        <w:i/>
        <w:iCs/>
        <w:color w:val="ffffff"/>
      </w:rPr>
      <w:tcPr>
        <w:shd w:val="solid" w:color="800000" w:fill="ffffff"/>
        <w:tcBorders>
          <w:bottom w:val="single" w:color="000000" w:sz="12" w:space="0"/>
        </w:tcBorders>
      </w:tcPr>
    </w:tblStylePr>
    <w:tblStylePr w:type="lastCol"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748">
    <w:name w:val="Table Colorful 3"/>
    <w:basedOn w:val="629"/>
    <w:semiHidden/>
    <w:pPr>
      <w:ind w:firstLine="567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pct25" w:color="008080" w:fill="ffffff"/>
    </w:tcPr>
    <w:tblStylePr w:type="firstCol">
      <w:tcPr>
        <w:shd w:val="solid" w:color="008080" w:fill="ffffff"/>
        <w:tcBorders>
          <w:left w:val="single" w:color="000000" w:sz="36" w:space="0"/>
          <w:right w:val="single" w:color="000000" w:sz="6" w:space="0"/>
        </w:tcBorders>
      </w:tcPr>
    </w:tblStylePr>
    <w:tblStylePr w:type="firstRow">
      <w:tcPr>
        <w:shd w:val="solid" w:color="008080" w:fill="ffffff"/>
        <w:tcBorders>
          <w:bottom w:val="single" w:color="000000" w:sz="6" w:space="0"/>
        </w:tcBorders>
      </w:tcPr>
    </w:tblStylePr>
    <w:tblStylePr w:type="nwCell">
      <w:rPr>
        <w:b/>
        <w:bCs/>
        <w:color w:val="ffffff"/>
      </w:rPr>
      <w:tcPr>
        <w:shd w:val="solid" w:color="000000" w:fill="ffffff"/>
      </w:tcPr>
    </w:tblStylePr>
  </w:style>
  <w:style w:type="paragraph" w:styleId="749">
    <w:name w:val="Block Text"/>
    <w:basedOn w:val="618"/>
    <w:semiHidden/>
    <w:pPr>
      <w:ind w:left="1440" w:right="1440"/>
      <w:jc w:val="both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50">
    <w:name w:val="HTML Cite"/>
    <w:semiHidden/>
    <w:rPr>
      <w:i/>
      <w:iCs/>
    </w:rPr>
  </w:style>
  <w:style w:type="paragraph" w:styleId="751">
    <w:name w:val="Message Header"/>
    <w:basedOn w:val="618"/>
    <w:link w:val="752"/>
    <w:semiHidden/>
    <w:pPr>
      <w:ind w:left="1134" w:hanging="1134"/>
      <w:jc w:val="both"/>
      <w:spacing w:after="0" w:line="240" w:lineRule="auto"/>
      <w:shd w:val="pct20" w:color="auto" w:fill="auto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</w:pPr>
    <w:rPr>
      <w:rFonts w:ascii="Arial" w:hAnsi="Arial" w:eastAsia="Times New Roman" w:cs="Arial"/>
      <w:sz w:val="24"/>
      <w:szCs w:val="24"/>
      <w:lang w:eastAsia="ru-RU"/>
    </w:rPr>
  </w:style>
  <w:style w:type="character" w:styleId="752" w:customStyle="1">
    <w:name w:val="Шапка Знак"/>
    <w:basedOn w:val="628"/>
    <w:link w:val="751"/>
    <w:semiHidden/>
    <w:rPr>
      <w:rFonts w:ascii="Arial" w:hAnsi="Arial" w:eastAsia="Times New Roman" w:cs="Arial"/>
      <w:sz w:val="24"/>
      <w:szCs w:val="24"/>
      <w:shd w:val="pct20" w:color="auto" w:fill="auto"/>
      <w:lang w:eastAsia="ru-RU"/>
    </w:rPr>
  </w:style>
  <w:style w:type="paragraph" w:styleId="753">
    <w:name w:val="E-mail Signature"/>
    <w:basedOn w:val="618"/>
    <w:link w:val="754"/>
    <w:semiHidden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54" w:customStyle="1">
    <w:name w:val="Электронная подпись Знак"/>
    <w:basedOn w:val="628"/>
    <w:link w:val="753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55">
    <w:name w:val="toa heading"/>
    <w:basedOn w:val="618"/>
    <w:next w:val="618"/>
    <w:semiHidden/>
    <w:pPr>
      <w:jc w:val="both"/>
      <w:spacing w:before="120" w:after="0" w:line="240" w:lineRule="auto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756" w:customStyle="1">
    <w:name w:val="Название рисунка (КС)"/>
    <w:link w:val="836"/>
    <w:pPr>
      <w:numPr>
        <w:numId w:val="3"/>
      </w:numPr>
      <w:jc w:val="center"/>
      <w:spacing w:before="60" w:after="240" w:line="240" w:lineRule="auto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757">
    <w:name w:val="Balloon Text"/>
    <w:basedOn w:val="618"/>
    <w:link w:val="758"/>
    <w:semiHidden/>
    <w:pPr>
      <w:jc w:val="both"/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758" w:customStyle="1">
    <w:name w:val="Текст выноски Знак"/>
    <w:basedOn w:val="628"/>
    <w:link w:val="757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759">
    <w:name w:val="annotation text"/>
    <w:basedOn w:val="618"/>
    <w:link w:val="760"/>
    <w:semiHidden/>
    <w:pPr>
      <w:jc w:val="both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60" w:customStyle="1">
    <w:name w:val="Текст примечания Знак"/>
    <w:basedOn w:val="628"/>
    <w:link w:val="75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61">
    <w:name w:val="annotation subject"/>
    <w:basedOn w:val="759"/>
    <w:next w:val="759"/>
    <w:link w:val="762"/>
    <w:semiHidden/>
    <w:rPr>
      <w:b/>
      <w:bCs/>
    </w:rPr>
  </w:style>
  <w:style w:type="character" w:styleId="762" w:customStyle="1">
    <w:name w:val="Тема примечания Знак"/>
    <w:basedOn w:val="760"/>
    <w:link w:val="761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763" w:customStyle="1">
    <w:name w:val="Обычный (КС)"/>
    <w:link w:val="842"/>
    <w:pPr>
      <w:ind w:firstLine="709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64">
    <w:name w:val="toc 2"/>
    <w:basedOn w:val="618"/>
    <w:next w:val="618"/>
    <w:uiPriority w:val="39"/>
    <w:pPr>
      <w:ind w:left="357"/>
      <w:jc w:val="both"/>
      <w:spacing w:after="0" w:line="240" w:lineRule="auto"/>
      <w:tabs>
        <w:tab w:val="left" w:pos="1077" w:leader="none"/>
        <w:tab w:val="right" w:pos="10205" w:leader="dot"/>
      </w:tabs>
    </w:pPr>
    <w:rPr>
      <w:rFonts w:ascii="Times New Roman" w:hAnsi="Times New Roman" w:eastAsia="Times New Roman" w:cs="Times New Roman"/>
      <w:smallCaps/>
      <w:sz w:val="20"/>
      <w:szCs w:val="20"/>
      <w:lang w:eastAsia="ru-RU"/>
    </w:rPr>
  </w:style>
  <w:style w:type="paragraph" w:styleId="765">
    <w:name w:val="toc 1"/>
    <w:basedOn w:val="618"/>
    <w:next w:val="618"/>
    <w:uiPriority w:val="39"/>
    <w:pPr>
      <w:jc w:val="both"/>
      <w:spacing w:before="60" w:after="60" w:line="240" w:lineRule="auto"/>
      <w:tabs>
        <w:tab w:val="left" w:pos="360" w:leader="none"/>
        <w:tab w:val="right" w:pos="10195" w:leader="dot"/>
      </w:tabs>
    </w:pPr>
    <w:rPr>
      <w:rFonts w:ascii="Times New Roman" w:hAnsi="Times New Roman" w:eastAsia="Times New Roman" w:cs="Times New Roman"/>
      <w:b/>
      <w:bCs/>
      <w:smallCaps/>
      <w:sz w:val="24"/>
      <w:szCs w:val="24"/>
      <w:lang w:eastAsia="ru-RU"/>
    </w:rPr>
  </w:style>
  <w:style w:type="character" w:styleId="766">
    <w:name w:val="endnote reference"/>
    <w:semiHidden/>
    <w:rPr>
      <w:vertAlign w:val="superscript"/>
    </w:rPr>
  </w:style>
  <w:style w:type="paragraph" w:styleId="767">
    <w:name w:val="toc 4"/>
    <w:basedOn w:val="618"/>
    <w:next w:val="618"/>
    <w:uiPriority w:val="39"/>
    <w:pPr>
      <w:ind w:left="1077"/>
      <w:jc w:val="both"/>
      <w:spacing w:after="0" w:line="240" w:lineRule="auto"/>
      <w:tabs>
        <w:tab w:val="left" w:pos="1800" w:leader="none"/>
        <w:tab w:val="right" w:pos="10195" w:leader="dot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68">
    <w:name w:val="toc 5"/>
    <w:basedOn w:val="618"/>
    <w:next w:val="618"/>
    <w:uiPriority w:val="39"/>
    <w:pPr>
      <w:ind w:left="1446"/>
      <w:jc w:val="both"/>
      <w:spacing w:after="0" w:line="240" w:lineRule="auto"/>
      <w:tabs>
        <w:tab w:val="left" w:pos="2340" w:leader="none"/>
        <w:tab w:val="right" w:pos="10195" w:leader="dot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69">
    <w:name w:val="toc 6"/>
    <w:basedOn w:val="618"/>
    <w:next w:val="618"/>
    <w:uiPriority w:val="39"/>
    <w:pPr>
      <w:jc w:val="both"/>
      <w:spacing w:after="0" w:line="240" w:lineRule="auto"/>
    </w:pPr>
    <w:rPr>
      <w:rFonts w:ascii="Times New Roman" w:hAnsi="Times New Roman" w:eastAsia="Times New Roman" w:cs="Times New Roman"/>
      <w:smallCaps/>
      <w:sz w:val="24"/>
      <w:szCs w:val="24"/>
      <w:lang w:eastAsia="ru-RU"/>
    </w:rPr>
  </w:style>
  <w:style w:type="paragraph" w:styleId="770">
    <w:name w:val="Document Map"/>
    <w:basedOn w:val="618"/>
    <w:link w:val="771"/>
    <w:semiHidden/>
    <w:pPr>
      <w:jc w:val="both"/>
      <w:spacing w:after="0" w:line="240" w:lineRule="auto"/>
      <w:shd w:val="clear" w:color="auto" w:fill="000080"/>
    </w:pPr>
    <w:rPr>
      <w:rFonts w:ascii="Tahoma" w:hAnsi="Tahoma" w:eastAsia="Times New Roman" w:cs="Tahoma"/>
      <w:sz w:val="20"/>
      <w:szCs w:val="20"/>
      <w:lang w:eastAsia="ru-RU"/>
    </w:rPr>
  </w:style>
  <w:style w:type="character" w:styleId="771" w:customStyle="1">
    <w:name w:val="Схема документа Знак"/>
    <w:basedOn w:val="628"/>
    <w:link w:val="770"/>
    <w:semiHidden/>
    <w:rPr>
      <w:rFonts w:ascii="Tahoma" w:hAnsi="Tahoma" w:eastAsia="Times New Roman" w:cs="Tahoma"/>
      <w:sz w:val="20"/>
      <w:szCs w:val="20"/>
      <w:shd w:val="clear" w:color="auto" w:fill="000080"/>
      <w:lang w:eastAsia="ru-RU"/>
    </w:rPr>
  </w:style>
  <w:style w:type="paragraph" w:styleId="772" w:customStyle="1">
    <w:name w:val="Обычный (КС) полужирный"/>
    <w:basedOn w:val="763"/>
    <w:link w:val="831"/>
    <w:rPr>
      <w:b/>
    </w:rPr>
  </w:style>
  <w:style w:type="paragraph" w:styleId="773" w:customStyle="1">
    <w:name w:val="Формула (КС)"/>
    <w:pPr>
      <w:jc w:val="center"/>
      <w:spacing w:before="240" w:after="120" w:line="240" w:lineRule="auto"/>
      <w:widowControl w:val="off"/>
    </w:pPr>
    <w:rPr>
      <w:rFonts w:ascii="Times New Roman" w:hAnsi="Times New Roman" w:eastAsia="Times New Roman" w:cs="Times New Roman"/>
      <w:lang w:eastAsia="ru-RU"/>
    </w:rPr>
  </w:style>
  <w:style w:type="paragraph" w:styleId="774">
    <w:name w:val="toc 3"/>
    <w:basedOn w:val="618"/>
    <w:next w:val="618"/>
    <w:uiPriority w:val="39"/>
    <w:pPr>
      <w:ind w:left="709"/>
      <w:jc w:val="both"/>
      <w:spacing w:after="0" w:line="240" w:lineRule="auto"/>
      <w:tabs>
        <w:tab w:val="left" w:pos="1358" w:leader="none"/>
        <w:tab w:val="right" w:pos="10195" w:leader="dot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75">
    <w:name w:val="toc 7"/>
    <w:basedOn w:val="618"/>
    <w:next w:val="618"/>
    <w:uiPriority w:val="39"/>
    <w:pPr>
      <w:ind w:left="1440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6">
    <w:name w:val="toc 8"/>
    <w:basedOn w:val="618"/>
    <w:next w:val="618"/>
    <w:uiPriority w:val="39"/>
    <w:pPr>
      <w:ind w:left="1680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7">
    <w:name w:val="toc 9"/>
    <w:basedOn w:val="618"/>
    <w:next w:val="618"/>
    <w:uiPriority w:val="39"/>
    <w:pPr>
      <w:ind w:left="1920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8">
    <w:name w:val="table of figures"/>
    <w:basedOn w:val="618"/>
    <w:next w:val="618"/>
    <w:semiHidden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9">
    <w:name w:val="footnote text"/>
    <w:basedOn w:val="618"/>
    <w:link w:val="780"/>
    <w:semiHidden/>
    <w:pPr>
      <w:jc w:val="both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80" w:customStyle="1">
    <w:name w:val="Текст сноски Знак"/>
    <w:basedOn w:val="628"/>
    <w:link w:val="77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81">
    <w:name w:val="footnote reference"/>
    <w:semiHidden/>
    <w:rPr>
      <w:vertAlign w:val="superscript"/>
    </w:rPr>
  </w:style>
  <w:style w:type="paragraph" w:styleId="782" w:customStyle="1">
    <w:name w:val="Заголовок 1 (КС)"/>
    <w:qFormat/>
    <w:pPr>
      <w:pageBreakBefore/>
      <w:spacing w:after="120" w:line="240" w:lineRule="auto"/>
    </w:pPr>
    <w:rPr>
      <w:rFonts w:ascii="Times New Roman" w:hAnsi="Times New Roman" w:eastAsia="Times New Roman" w:cs="Times New Roman"/>
      <w:b/>
      <w:bCs/>
      <w:caps/>
      <w:sz w:val="28"/>
      <w:szCs w:val="28"/>
      <w:lang w:eastAsia="ru-RU"/>
    </w:rPr>
  </w:style>
  <w:style w:type="paragraph" w:styleId="783" w:customStyle="1">
    <w:name w:val="Заголовок 4 (КС)"/>
    <w:qFormat/>
    <w:pPr>
      <w:spacing w:before="240" w:after="120" w:line="240" w:lineRule="auto"/>
    </w:pPr>
    <w:rPr>
      <w:rFonts w:ascii="Times New Roman" w:hAnsi="Times New Roman" w:eastAsia="Times New Roman" w:cs="Times New Roman"/>
      <w:b/>
      <w:bCs/>
      <w:sz w:val="28"/>
      <w:szCs w:val="28"/>
      <w:lang w:val="en-US" w:eastAsia="ru-RU"/>
    </w:rPr>
  </w:style>
  <w:style w:type="paragraph" w:styleId="784" w:customStyle="1">
    <w:name w:val="Рисунки (КС)"/>
    <w:pPr>
      <w:jc w:val="center"/>
      <w:keepNext/>
      <w:spacing w:before="120"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85" w:customStyle="1">
    <w:name w:val="Титул ТО 2 (КС)"/>
    <w:pPr>
      <w:jc w:val="center"/>
      <w:spacing w:before="420" w:after="60" w:line="320" w:lineRule="exact"/>
    </w:pPr>
    <w:rPr>
      <w:rFonts w:ascii="Times New Roman" w:hAnsi="Times New Roman" w:eastAsia="Times New Roman" w:cs="Times New Roman"/>
      <w:sz w:val="32"/>
      <w:szCs w:val="32"/>
    </w:rPr>
  </w:style>
  <w:style w:type="paragraph" w:styleId="786" w:customStyle="1">
    <w:name w:val="Титул ПК (КС)"/>
    <w:pPr>
      <w:jc w:val="center"/>
      <w:spacing w:before="420" w:after="60" w:line="320" w:lineRule="exact"/>
    </w:pPr>
    <w:rPr>
      <w:rFonts w:ascii="Times New Roman" w:hAnsi="Times New Roman" w:eastAsia="Times New Roman" w:cs="Times New Roman"/>
      <w:b/>
      <w:bCs/>
      <w:caps/>
      <w:sz w:val="32"/>
      <w:szCs w:val="32"/>
    </w:rPr>
  </w:style>
  <w:style w:type="paragraph" w:styleId="787" w:customStyle="1">
    <w:name w:val="Титул ТО 1 (КС)"/>
    <w:pPr>
      <w:jc w:val="center"/>
      <w:spacing w:before="420" w:after="60" w:line="320" w:lineRule="exact"/>
    </w:pPr>
    <w:rPr>
      <w:rFonts w:ascii="Times New Roman" w:hAnsi="Times New Roman" w:eastAsia="Times New Roman" w:cs="Times New Roman"/>
      <w:sz w:val="36"/>
      <w:szCs w:val="36"/>
    </w:rPr>
  </w:style>
  <w:style w:type="paragraph" w:styleId="788" w:customStyle="1">
    <w:name w:val="ТИТУЛ (КС)"/>
    <w:pPr>
      <w:spacing w:before="100"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89">
    <w:name w:val="index 1"/>
    <w:basedOn w:val="618"/>
    <w:next w:val="618"/>
    <w:semiHidden/>
    <w:pPr>
      <w:ind w:left="901" w:hanging="181"/>
      <w:jc w:val="both"/>
      <w:spacing w:before="60" w:after="0" w:line="240" w:lineRule="auto"/>
      <w:tabs>
        <w:tab w:val="right" w:pos="10195" w:leader="dot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90">
    <w:name w:val="index heading"/>
    <w:basedOn w:val="618"/>
    <w:next w:val="789"/>
    <w:semiHidden/>
    <w:pPr>
      <w:ind w:firstLine="720"/>
      <w:spacing w:before="120" w:after="120" w:line="240" w:lineRule="auto"/>
    </w:pPr>
    <w:rPr>
      <w:rFonts w:ascii="Times New Roman" w:hAnsi="Times New Roman" w:eastAsia="Times New Roman" w:cs="Times New Roman"/>
      <w:b/>
      <w:bCs/>
      <w:i/>
      <w:iCs/>
      <w:sz w:val="20"/>
      <w:szCs w:val="20"/>
      <w:lang w:eastAsia="ru-RU"/>
    </w:rPr>
  </w:style>
  <w:style w:type="paragraph" w:styleId="791" w:customStyle="1">
    <w:name w:val="Текст таблицы влево (КС)"/>
    <w:pPr>
      <w:ind w:firstLine="6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92" w:customStyle="1">
    <w:name w:val="Текст таблицы центр (КС)"/>
    <w:pPr>
      <w:jc w:val="center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93" w:customStyle="1">
    <w:name w:val="Подзаголовок (КС)"/>
    <w:link w:val="847"/>
    <w:pPr>
      <w:ind w:firstLine="709"/>
      <w:keepNext/>
      <w:spacing w:before="300" w:after="60" w:line="240" w:lineRule="auto"/>
    </w:pPr>
    <w:rPr>
      <w:rFonts w:ascii="Times New Roman" w:hAnsi="Times New Roman" w:eastAsia="Times New Roman" w:cs="Times New Roman"/>
      <w:b/>
      <w:bCs/>
      <w:sz w:val="26"/>
      <w:szCs w:val="26"/>
      <w:lang w:eastAsia="ru-RU"/>
    </w:rPr>
  </w:style>
  <w:style w:type="paragraph" w:styleId="794" w:customStyle="1">
    <w:name w:val="Список маркер (КС)"/>
    <w:pPr>
      <w:numPr>
        <w:numId w:val="5"/>
      </w:numPr>
      <w:ind w:left="1021" w:hanging="301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95" w:customStyle="1">
    <w:name w:val="ТИТУЛ ПК ВЕРСИЯ (КС)"/>
    <w:pPr>
      <w:jc w:val="center"/>
      <w:spacing w:before="60" w:after="0" w:line="240" w:lineRule="auto"/>
    </w:pPr>
    <w:rPr>
      <w:rFonts w:ascii="Times New Roman" w:hAnsi="Times New Roman" w:eastAsia="Times New Roman" w:cs="Times New Roman"/>
      <w:caps/>
      <w:sz w:val="26"/>
      <w:szCs w:val="26"/>
    </w:rPr>
  </w:style>
  <w:style w:type="paragraph" w:styleId="796" w:customStyle="1">
    <w:name w:val="Обычный (КС) полужирный курсив"/>
    <w:link w:val="844"/>
    <w:pPr>
      <w:ind w:firstLine="709"/>
      <w:jc w:val="both"/>
      <w:spacing w:after="0" w:line="240" w:lineRule="auto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797" w:customStyle="1">
    <w:name w:val="Обычный (КС) подчеркивание"/>
    <w:link w:val="837"/>
    <w:pPr>
      <w:ind w:firstLine="709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u w:val="single"/>
      <w:lang w:eastAsia="ru-RU"/>
    </w:rPr>
  </w:style>
  <w:style w:type="paragraph" w:styleId="798" w:customStyle="1">
    <w:name w:val="Список нум2 (КС)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99" w:customStyle="1">
    <w:name w:val="Обычный (КС) подчеркивание курсив"/>
    <w:link w:val="839"/>
    <w:pPr>
      <w:ind w:firstLine="709"/>
      <w:jc w:val="both"/>
      <w:spacing w:after="0" w:line="240" w:lineRule="auto"/>
    </w:pPr>
    <w:rPr>
      <w:rFonts w:ascii="Times New Roman" w:hAnsi="Times New Roman" w:eastAsia="Times New Roman" w:cs="Times New Roman"/>
      <w:i/>
      <w:iCs/>
      <w:sz w:val="24"/>
      <w:szCs w:val="24"/>
      <w:u w:val="single"/>
      <w:lang w:eastAsia="ru-RU"/>
    </w:rPr>
  </w:style>
  <w:style w:type="paragraph" w:styleId="800">
    <w:name w:val="table of authorities"/>
    <w:basedOn w:val="618"/>
    <w:next w:val="618"/>
    <w:semiHidden/>
    <w:pPr>
      <w:ind w:left="240" w:hanging="240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01">
    <w:name w:val="endnote text"/>
    <w:basedOn w:val="618"/>
    <w:link w:val="802"/>
    <w:semiHidden/>
    <w:pPr>
      <w:jc w:val="both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02" w:customStyle="1">
    <w:name w:val="Текст концевой сноски Знак"/>
    <w:basedOn w:val="628"/>
    <w:link w:val="801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03">
    <w:name w:val="macro"/>
    <w:link w:val="804"/>
    <w:semiHidden/>
    <w:pPr>
      <w:ind w:firstLine="567"/>
      <w:jc w:val="both"/>
      <w:spacing w:after="0" w:line="240" w:lineRule="auto"/>
      <w:tabs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04" w:customStyle="1">
    <w:name w:val="Текст макроса Знак"/>
    <w:basedOn w:val="628"/>
    <w:link w:val="803"/>
    <w:semiHidden/>
    <w:rPr>
      <w:rFonts w:ascii="Courier New" w:hAnsi="Courier New" w:eastAsia="Times New Roman" w:cs="Courier New"/>
      <w:sz w:val="20"/>
      <w:szCs w:val="20"/>
      <w:lang w:eastAsia="ru-RU"/>
    </w:rPr>
  </w:style>
  <w:style w:type="paragraph" w:styleId="805">
    <w:name w:val="index 2"/>
    <w:basedOn w:val="618"/>
    <w:next w:val="618"/>
    <w:semiHidden/>
    <w:pPr>
      <w:ind w:left="1440" w:hanging="240"/>
      <w:jc w:val="both"/>
      <w:spacing w:after="0" w:line="240" w:lineRule="auto"/>
      <w:tabs>
        <w:tab w:val="right" w:pos="10195" w:leader="dot"/>
      </w:tabs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806">
    <w:name w:val="index 3"/>
    <w:basedOn w:val="618"/>
    <w:next w:val="618"/>
    <w:semiHidden/>
    <w:pPr>
      <w:ind w:left="720" w:hanging="240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07">
    <w:name w:val="index 4"/>
    <w:basedOn w:val="618"/>
    <w:next w:val="618"/>
    <w:semiHidden/>
    <w:pPr>
      <w:ind w:left="960" w:hanging="240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08">
    <w:name w:val="index 5"/>
    <w:basedOn w:val="618"/>
    <w:next w:val="618"/>
    <w:semiHidden/>
    <w:pPr>
      <w:ind w:left="1200" w:hanging="240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09">
    <w:name w:val="index 6"/>
    <w:basedOn w:val="618"/>
    <w:next w:val="618"/>
    <w:semiHidden/>
    <w:pPr>
      <w:ind w:left="1440" w:hanging="240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10">
    <w:name w:val="index 7"/>
    <w:basedOn w:val="618"/>
    <w:next w:val="618"/>
    <w:semiHidden/>
    <w:pPr>
      <w:ind w:left="1680" w:hanging="240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11">
    <w:name w:val="index 8"/>
    <w:basedOn w:val="618"/>
    <w:next w:val="618"/>
    <w:semiHidden/>
    <w:pPr>
      <w:ind w:left="1920" w:hanging="240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12">
    <w:name w:val="index 9"/>
    <w:basedOn w:val="618"/>
    <w:next w:val="618"/>
    <w:semiHidden/>
    <w:pPr>
      <w:ind w:left="2160" w:hanging="240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13" w:customStyle="1">
    <w:name w:val="Текст таблицы мелкий (КС)"/>
    <w:pPr>
      <w:spacing w:after="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14" w:customStyle="1">
    <w:name w:val="Согласование (КС)"/>
    <w:pPr>
      <w:ind w:left="567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15" w:customStyle="1">
    <w:name w:val="КОЛОНТИТУЛ 2 (КС)"/>
    <w:pPr>
      <w:jc w:val="right"/>
      <w:spacing w:before="60" w:after="0" w:line="240" w:lineRule="auto"/>
    </w:pPr>
    <w:rPr>
      <w:rFonts w:ascii="Times New Roman" w:hAnsi="Times New Roman" w:eastAsia="Times New Roman" w:cs="Times New Roman"/>
      <w:caps/>
      <w:color w:val="5f5f5f"/>
      <w:sz w:val="18"/>
      <w:szCs w:val="18"/>
      <w:lang w:eastAsia="ru-RU"/>
    </w:rPr>
  </w:style>
  <w:style w:type="paragraph" w:styleId="816" w:customStyle="1">
    <w:name w:val="КОЛОНТИТУЛ 1 (КС)"/>
    <w:pPr>
      <w:spacing w:before="60" w:after="0" w:line="240" w:lineRule="auto"/>
    </w:pPr>
    <w:rPr>
      <w:rFonts w:ascii="Times New Roman" w:hAnsi="Times New Roman" w:eastAsia="Times New Roman" w:cs="Times New Roman"/>
      <w:caps/>
      <w:color w:val="5f5f5f"/>
      <w:spacing w:val="24"/>
      <w:sz w:val="18"/>
      <w:szCs w:val="18"/>
      <w:lang w:eastAsia="ru-RU"/>
    </w:rPr>
  </w:style>
  <w:style w:type="paragraph" w:styleId="817" w:customStyle="1">
    <w:name w:val="Список нум (КС)"/>
    <w:pPr>
      <w:numPr>
        <w:numId w:val="7"/>
      </w:num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18" w:customStyle="1">
    <w:name w:val="Приложение (КС)"/>
    <w:pPr>
      <w:jc w:val="center"/>
      <w:keepNext/>
      <w:pageBreakBefore/>
      <w:spacing w:after="240" w:line="24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819">
    <w:name w:val="annotation reference"/>
    <w:semiHidden/>
    <w:rPr>
      <w:sz w:val="16"/>
      <w:szCs w:val="16"/>
    </w:rPr>
  </w:style>
  <w:style w:type="paragraph" w:styleId="820" w:customStyle="1">
    <w:name w:val="Введение (КС)"/>
    <w:pPr>
      <w:ind w:left="720"/>
      <w:keepNext/>
      <w:pageBreakBefore/>
      <w:spacing w:after="240" w:line="240" w:lineRule="auto"/>
      <w:outlineLvl w:val="0"/>
    </w:pPr>
    <w:rPr>
      <w:rFonts w:ascii="Times New Roman" w:hAnsi="Times New Roman" w:eastAsia="Times New Roman" w:cs="Times New Roman"/>
      <w:b/>
      <w:bCs/>
      <w:caps/>
      <w:sz w:val="28"/>
      <w:szCs w:val="28"/>
      <w:lang w:eastAsia="ru-RU"/>
    </w:rPr>
  </w:style>
  <w:style w:type="paragraph" w:styleId="821" w:customStyle="1">
    <w:name w:val="Обычный (КС) курсив"/>
    <w:link w:val="832"/>
    <w:pPr>
      <w:ind w:firstLine="709"/>
      <w:jc w:val="both"/>
      <w:spacing w:after="0" w:line="240" w:lineRule="auto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822" w:customStyle="1">
    <w:name w:val="Заголовок 2 (КС)"/>
    <w:qFormat/>
    <w:pPr>
      <w:spacing w:before="240" w:after="120" w:line="24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823" w:customStyle="1">
    <w:name w:val="Заголовок 3 (КС)"/>
    <w:pPr>
      <w:spacing w:before="240" w:after="120" w:line="24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824" w:customStyle="1">
    <w:name w:val="Заголовок 5 (КС)"/>
    <w:qFormat/>
    <w:pPr>
      <w:spacing w:before="240" w:after="120" w:line="24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825">
    <w:name w:val="Header"/>
    <w:basedOn w:val="618"/>
    <w:link w:val="826"/>
    <w:semiHidden/>
    <w:pPr>
      <w:jc w:val="both"/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26" w:customStyle="1">
    <w:name w:val="Верхний колонтитул Знак"/>
    <w:basedOn w:val="628"/>
    <w:link w:val="825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7">
    <w:name w:val="Footer"/>
    <w:basedOn w:val="618"/>
    <w:link w:val="828"/>
    <w:semiHidden/>
    <w:pPr>
      <w:jc w:val="both"/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28" w:customStyle="1">
    <w:name w:val="Нижний колонтитул Знак"/>
    <w:basedOn w:val="628"/>
    <w:link w:val="827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9" w:customStyle="1">
    <w:name w:val="Примечание (КС)"/>
    <w:pPr>
      <w:jc w:val="both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830">
    <w:name w:val="Normal (Web)"/>
    <w:basedOn w:val="618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1" w:customStyle="1">
    <w:name w:val="Обычный (КС) полужирный Знак"/>
    <w:link w:val="772"/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character" w:styleId="832" w:customStyle="1">
    <w:name w:val="Обычный (КС) курсив Знак"/>
    <w:link w:val="821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833" w:customStyle="1">
    <w:name w:val="Текст таблицы вправо (КС)"/>
    <w:pPr>
      <w:jc w:val="right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4" w:customStyle="1">
    <w:name w:val="Навигатор (КС)"/>
    <w:basedOn w:val="791"/>
    <w:link w:val="843"/>
    <w:pPr>
      <w:ind w:left="709" w:firstLine="0"/>
      <w:spacing w:before="120" w:after="120"/>
      <w:shd w:val="clear" w:color="auto" w:fill="cccccc"/>
    </w:pPr>
    <w:rPr>
      <w:b/>
      <w:bCs/>
      <w:smallCaps/>
      <w:lang w:val="en-US"/>
    </w:rPr>
  </w:style>
  <w:style w:type="numbering" w:styleId="835">
    <w:name w:val="Outline List 3"/>
    <w:basedOn w:val="630"/>
    <w:pPr>
      <w:numPr>
        <w:numId w:val="8"/>
      </w:numPr>
    </w:pPr>
  </w:style>
  <w:style w:type="character" w:styleId="836" w:customStyle="1">
    <w:name w:val="Название рисунка (КС) Знак"/>
    <w:link w:val="75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837" w:customStyle="1">
    <w:name w:val="Обычный (КС) подчеркивание Знак"/>
    <w:link w:val="797"/>
    <w:rPr>
      <w:rFonts w:ascii="Times New Roman" w:hAnsi="Times New Roman" w:eastAsia="Times New Roman" w:cs="Times New Roman"/>
      <w:sz w:val="24"/>
      <w:szCs w:val="24"/>
      <w:u w:val="single"/>
      <w:lang w:eastAsia="ru-RU"/>
    </w:rPr>
  </w:style>
  <w:style w:type="paragraph" w:styleId="838" w:customStyle="1">
    <w:name w:val="Колонки (КС)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9" w:customStyle="1">
    <w:name w:val="Обычный (КС) подчеркивание курсив Знак"/>
    <w:link w:val="799"/>
    <w:rPr>
      <w:rFonts w:ascii="Times New Roman" w:hAnsi="Times New Roman" w:eastAsia="Times New Roman" w:cs="Times New Roman"/>
      <w:i/>
      <w:iCs/>
      <w:sz w:val="24"/>
      <w:szCs w:val="24"/>
      <w:u w:val="single"/>
      <w:lang w:eastAsia="ru-RU"/>
    </w:rPr>
  </w:style>
  <w:style w:type="paragraph" w:styleId="840" w:customStyle="1">
    <w:name w:val="Примечание (КС) полужирный"/>
    <w:link w:val="841"/>
    <w:pPr>
      <w:spacing w:after="0" w:line="240" w:lineRule="auto"/>
    </w:pPr>
    <w:rPr>
      <w:rFonts w:ascii="Arial" w:hAnsi="Arial" w:eastAsia="Times New Roman" w:cs="Arial"/>
      <w:b/>
      <w:sz w:val="20"/>
      <w:szCs w:val="20"/>
      <w:lang w:eastAsia="ru-RU"/>
    </w:rPr>
  </w:style>
  <w:style w:type="character" w:styleId="841" w:customStyle="1">
    <w:name w:val="Примечание (КС) полужирный Знак Знак"/>
    <w:link w:val="840"/>
    <w:rPr>
      <w:rFonts w:ascii="Arial" w:hAnsi="Arial" w:eastAsia="Times New Roman" w:cs="Arial"/>
      <w:b/>
      <w:sz w:val="20"/>
      <w:szCs w:val="20"/>
      <w:lang w:eastAsia="ru-RU"/>
    </w:rPr>
  </w:style>
  <w:style w:type="character" w:styleId="842" w:customStyle="1">
    <w:name w:val="Обычный (КС) Знак"/>
    <w:link w:val="76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3" w:customStyle="1">
    <w:name w:val="Навигатор (КС) Знак"/>
    <w:link w:val="834"/>
    <w:rPr>
      <w:rFonts w:ascii="Times New Roman" w:hAnsi="Times New Roman" w:eastAsia="Times New Roman" w:cs="Times New Roman"/>
      <w:b/>
      <w:bCs/>
      <w:smallCaps/>
      <w:sz w:val="20"/>
      <w:szCs w:val="20"/>
      <w:shd w:val="clear" w:color="auto" w:fill="cccccc"/>
      <w:lang w:val="en-US"/>
    </w:rPr>
  </w:style>
  <w:style w:type="character" w:styleId="844" w:customStyle="1">
    <w:name w:val="Обычный (КС) полужирный курсив Знак"/>
    <w:link w:val="796"/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845" w:customStyle="1">
    <w:name w:val="Примечание (КС) курсив"/>
    <w:pPr>
      <w:spacing w:after="0" w:line="240" w:lineRule="auto"/>
    </w:pPr>
    <w:rPr>
      <w:rFonts w:ascii="Arial" w:hAnsi="Arial" w:eastAsia="Times New Roman" w:cs="Arial"/>
      <w:i/>
      <w:sz w:val="20"/>
      <w:szCs w:val="20"/>
      <w:lang w:eastAsia="ru-RU"/>
    </w:rPr>
  </w:style>
  <w:style w:type="paragraph" w:styleId="846" w:customStyle="1">
    <w:name w:val="Стиль Обычный (КС) полужирный + полужирный"/>
    <w:basedOn w:val="772"/>
    <w:rPr>
      <w:b w:val="0"/>
      <w:bCs/>
    </w:rPr>
  </w:style>
  <w:style w:type="character" w:styleId="847" w:customStyle="1">
    <w:name w:val="Подзаголовок (КС) Знак"/>
    <w:link w:val="793"/>
    <w:rPr>
      <w:rFonts w:ascii="Times New Roman" w:hAnsi="Times New Roman" w:eastAsia="Times New Roman" w:cs="Times New Roman"/>
      <w:b/>
      <w:bCs/>
      <w:sz w:val="26"/>
      <w:szCs w:val="26"/>
      <w:lang w:eastAsia="ru-RU"/>
    </w:rPr>
  </w:style>
  <w:style w:type="paragraph" w:styleId="848" w:customStyle="1">
    <w:name w:val="p_notes"/>
    <w:basedOn w:val="61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9" w:customStyle="1">
    <w:name w:val="f_notes"/>
    <w:basedOn w:val="628"/>
  </w:style>
  <w:style w:type="character" w:styleId="850" w:customStyle="1">
    <w:name w:val="Подпись к рисунку Знак"/>
    <w:link w:val="851"/>
    <w:rPr>
      <w:b/>
      <w:bCs/>
      <w:color w:val="4f81bd"/>
      <w:sz w:val="18"/>
      <w:szCs w:val="18"/>
    </w:rPr>
  </w:style>
  <w:style w:type="paragraph" w:styleId="851" w:customStyle="1">
    <w:name w:val="Подпись к рисунку"/>
    <w:basedOn w:val="635"/>
    <w:link w:val="850"/>
    <w:qFormat/>
    <w:pPr>
      <w:jc w:val="center"/>
      <w:spacing w:before="120" w:after="120"/>
    </w:pPr>
    <w:rPr>
      <w:b/>
      <w:bCs/>
      <w:i w:val="0"/>
      <w:iCs w:val="0"/>
      <w:color w:val="4f81bd"/>
    </w:rPr>
  </w:style>
  <w:style w:type="paragraph" w:styleId="852" w:customStyle="1">
    <w:name w:val="Ссылка на рисунок"/>
    <w:basedOn w:val="634"/>
    <w:link w:val="853"/>
    <w:qFormat/>
    <w:pPr>
      <w:ind w:left="0" w:firstLine="720"/>
      <w:jc w:val="both"/>
      <w:spacing w:after="0" w:line="276" w:lineRule="auto"/>
    </w:pPr>
    <w:rPr>
      <w:rFonts w:ascii="Times New Roman" w:hAnsi="Times New Roman" w:eastAsia="Calibri" w:cs="Times New Roman"/>
      <w:i/>
      <w:sz w:val="24"/>
      <w:szCs w:val="24"/>
    </w:rPr>
  </w:style>
  <w:style w:type="character" w:styleId="853" w:customStyle="1">
    <w:name w:val="Ссылка на рисунок Знак"/>
    <w:link w:val="852"/>
    <w:rPr>
      <w:rFonts w:ascii="Times New Roman" w:hAnsi="Times New Roman" w:eastAsia="Calibri" w:cs="Times New Roman"/>
      <w:i/>
      <w:sz w:val="24"/>
      <w:szCs w:val="24"/>
    </w:rPr>
  </w:style>
  <w:style w:type="paragraph" w:styleId="854" w:customStyle="1">
    <w:name w:val="Подпись к рисункам"/>
    <w:basedOn w:val="635"/>
    <w:link w:val="855"/>
    <w:qFormat/>
    <w:pPr>
      <w:jc w:val="center"/>
      <w:spacing w:before="120"/>
    </w:pPr>
    <w:rPr>
      <w:rFonts w:ascii="Times New Roman" w:hAnsi="Times New Roman" w:eastAsia="Calibri" w:cs="Times New Roman"/>
      <w:b/>
      <w:bCs/>
      <w:i w:val="0"/>
      <w:iCs w:val="0"/>
      <w:color w:val="auto"/>
      <w:sz w:val="20"/>
    </w:rPr>
  </w:style>
  <w:style w:type="character" w:styleId="855" w:customStyle="1">
    <w:name w:val="Подпись к рисункам Знак"/>
    <w:link w:val="854"/>
    <w:rPr>
      <w:rFonts w:ascii="Times New Roman" w:hAnsi="Times New Roman" w:eastAsia="Calibri" w:cs="Times New Roman"/>
      <w:b/>
      <w:bCs/>
      <w:sz w:val="20"/>
      <w:szCs w:val="18"/>
    </w:rPr>
  </w:style>
  <w:style w:type="paragraph" w:styleId="856" w:customStyle="1">
    <w:name w:val="Текст инструкции"/>
    <w:basedOn w:val="634"/>
    <w:link w:val="857"/>
    <w:qFormat/>
    <w:pPr>
      <w:ind w:left="0" w:firstLine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</w:rPr>
  </w:style>
  <w:style w:type="character" w:styleId="857" w:customStyle="1">
    <w:name w:val="Текст инструкции Знак"/>
    <w:link w:val="856"/>
    <w:rPr>
      <w:rFonts w:ascii="Times New Roman" w:hAnsi="Times New Roman" w:eastAsia="Calibri" w:cs="Times New Roman"/>
      <w:sz w:val="24"/>
      <w:szCs w:val="24"/>
    </w:rPr>
  </w:style>
  <w:style w:type="paragraph" w:styleId="858" w:customStyle="1">
    <w:name w:val="Пояснение к рисункам"/>
    <w:basedOn w:val="635"/>
    <w:link w:val="859"/>
    <w:qFormat/>
    <w:pPr>
      <w:jc w:val="center"/>
      <w:spacing w:before="120" w:after="120"/>
    </w:pPr>
    <w:rPr>
      <w:rFonts w:ascii="Times New Roman" w:hAnsi="Times New Roman" w:eastAsia="Calibri" w:cs="Times New Roman"/>
      <w:b/>
      <w:bCs/>
      <w:i w:val="0"/>
      <w:iCs w:val="0"/>
      <w:color w:val="4f81bd"/>
      <w:sz w:val="20"/>
    </w:rPr>
  </w:style>
  <w:style w:type="character" w:styleId="859" w:customStyle="1">
    <w:name w:val="Пояснение к рисункам Знак"/>
    <w:link w:val="858"/>
    <w:rPr>
      <w:rFonts w:ascii="Times New Roman" w:hAnsi="Times New Roman" w:eastAsia="Calibri" w:cs="Times New Roman"/>
      <w:b/>
      <w:bCs/>
      <w:color w:val="4f81bd"/>
      <w:sz w:val="20"/>
      <w:szCs w:val="18"/>
    </w:rPr>
  </w:style>
  <w:style w:type="paragraph" w:styleId="860" w:customStyle="1">
    <w:name w:val="Текст руководства"/>
    <w:basedOn w:val="618"/>
    <w:link w:val="861"/>
    <w:qFormat/>
    <w:pPr>
      <w:ind w:firstLine="709"/>
      <w:jc w:val="both"/>
      <w:spacing w:after="0" w:line="276" w:lineRule="auto"/>
    </w:pPr>
    <w:rPr>
      <w:rFonts w:ascii="Times New Roman" w:hAnsi="Times New Roman" w:eastAsia="Calibri" w:cs="Times New Roman"/>
      <w:sz w:val="24"/>
    </w:rPr>
  </w:style>
  <w:style w:type="character" w:styleId="861" w:customStyle="1">
    <w:name w:val="Текст руководства Знак"/>
    <w:link w:val="860"/>
    <w:rPr>
      <w:rFonts w:ascii="Times New Roman" w:hAnsi="Times New Roman" w:eastAsia="Calibri" w:cs="Times New Roman"/>
      <w:sz w:val="24"/>
    </w:rPr>
  </w:style>
  <w:style w:type="paragraph" w:styleId="862" w:customStyle="1">
    <w:name w:val="Default"/>
    <w:pPr>
      <w:jc w:val="both"/>
      <w:spacing w:after="0" w:line="240" w:lineRule="auto"/>
    </w:pPr>
    <w:rPr>
      <w:rFonts w:ascii="Times New Roman" w:hAnsi="Times New Roman" w:eastAsia="Calibri" w:cs="Calibri"/>
      <w:color w:val="000000"/>
      <w:sz w:val="24"/>
      <w:szCs w:val="24"/>
    </w:rPr>
  </w:style>
  <w:style w:type="paragraph" w:styleId="863" w:customStyle="1">
    <w:name w:val="Код (КС)"/>
    <w:link w:val="864"/>
    <w:qFormat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val="en-US" w:eastAsia="ru-RU"/>
    </w:rPr>
  </w:style>
  <w:style w:type="character" w:styleId="864" w:customStyle="1">
    <w:name w:val="Код (КС) Знак"/>
    <w:link w:val="863"/>
    <w:rPr>
      <w:rFonts w:ascii="Courier New" w:hAnsi="Courier New" w:eastAsia="Times New Roman" w:cs="Courier New"/>
      <w:sz w:val="20"/>
      <w:szCs w:val="20"/>
      <w:lang w:val="en-US" w:eastAsia="ru-RU"/>
    </w:rPr>
  </w:style>
  <w:style w:type="paragraph" w:styleId="865" w:customStyle="1">
    <w:name w:val="Код (КС) зеленый"/>
    <w:basedOn w:val="863"/>
    <w:next w:val="863"/>
    <w:link w:val="867"/>
    <w:qFormat/>
    <w:rPr>
      <w:b/>
      <w:bCs/>
      <w:color w:val="008b8b"/>
    </w:rPr>
  </w:style>
  <w:style w:type="paragraph" w:styleId="866" w:customStyle="1">
    <w:name w:val="Код (КС) синий"/>
    <w:basedOn w:val="863"/>
    <w:next w:val="863"/>
    <w:link w:val="868"/>
    <w:qFormat/>
    <w:rPr>
      <w:color w:val="0000ff"/>
    </w:rPr>
  </w:style>
  <w:style w:type="character" w:styleId="867" w:customStyle="1">
    <w:name w:val="Код (КС) зеленый Знак"/>
    <w:link w:val="865"/>
    <w:rPr>
      <w:rFonts w:ascii="Courier New" w:hAnsi="Courier New" w:eastAsia="Times New Roman" w:cs="Courier New"/>
      <w:b/>
      <w:bCs/>
      <w:color w:val="008b8b"/>
      <w:sz w:val="20"/>
      <w:szCs w:val="20"/>
      <w:lang w:val="en-US" w:eastAsia="ru-RU"/>
    </w:rPr>
  </w:style>
  <w:style w:type="character" w:styleId="868" w:customStyle="1">
    <w:name w:val="Код (КС) синий Знак"/>
    <w:link w:val="866"/>
    <w:rPr>
      <w:rFonts w:ascii="Courier New" w:hAnsi="Courier New" w:eastAsia="Times New Roman" w:cs="Courier New"/>
      <w:color w:val="0000ff"/>
      <w:sz w:val="20"/>
      <w:szCs w:val="20"/>
      <w:lang w:val="en-US" w:eastAsia="ru-RU"/>
    </w:rPr>
  </w:style>
  <w:style w:type="paragraph" w:styleId="869" w:customStyle="1">
    <w:name w:val="Список нум3 (КС)"/>
    <w:qFormat/>
    <w:pPr>
      <w:ind w:left="2449" w:hanging="737"/>
      <w:jc w:val="both"/>
      <w:spacing w:before="60" w:after="0" w:line="240" w:lineRule="auto"/>
      <w:tabs>
        <w:tab w:val="num" w:pos="1712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870" w:customStyle="1">
    <w:name w:val="Стиль1"/>
    <w:uiPriority w:val="99"/>
    <w:pPr>
      <w:numPr>
        <w:numId w:val="10"/>
      </w:numPr>
    </w:pPr>
  </w:style>
  <w:style w:type="character" w:styleId="871" w:customStyle="1">
    <w:name w:val="Неразрешенное упоминание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helpgz.keysystems.ru/ru/complex-operations/2-13-gk-form-and-exec-control/2-13-1-formirovanie-kontrakta/sozdanie-kontrakta-iz-lota-izvesheniya#ris-32" TargetMode="Externa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hyperlink" Target="http://budget.gov.ru/&#1041;&#1102;&#1076;&#1078;&#1077;&#1090;/&#1056;&#1072;&#1089;&#1093;&#1086;&#1076;&#1099;/&#1056;&#1077;&#1077;&#1089;&#1090;&#1088;-&#1091;&#1095;&#1072;&#1089;&#1090;&#1085;&#1080;&#1082;&#1086;&#1074;-&#1080;-&#1085;&#1077;&#1091;&#1095;&#1072;&#1089;&#1090;&#1085;&#1080;&#1082;&#1086;&#1074;-&#1073;&#1102;&#1076;&#1078;&#1077;&#1090;&#1085;&#1086;&#1075;&#1086;-&#1087;&#1088;&#1086;&#1094;&#1077;&#1089;&#1089;&#1072;" TargetMode="External"/><Relationship Id="rId17" Type="http://schemas.openxmlformats.org/officeDocument/2006/relationships/image" Target="media/image6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9CC44-D48F-4105-A492-E5B9287F7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Владимир Александрович</dc:creator>
  <cp:keywords/>
  <dc:description/>
  <cp:revision>18</cp:revision>
  <dcterms:created xsi:type="dcterms:W3CDTF">2022-11-12T07:43:00Z</dcterms:created>
  <dcterms:modified xsi:type="dcterms:W3CDTF">2022-11-14T06:23:06Z</dcterms:modified>
</cp:coreProperties>
</file>