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 по работе в Модуле МЗ для муниципальных заказчиков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Администрации Сафоновского района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Разделы</w:t>
      </w:r>
      <w:r/>
    </w:p>
    <w:sdt>
      <w:sdtPr>
        <w15:appearance w15:val="boundingBox"/>
        <w:id w:val="1232430731"/>
        <w:docPartObj>
          <w:docPartGallery w:val="Table of Contents"/>
          <w:docPartUnique w:val="true"/>
        </w:docPartObj>
        <w:rPr>
          <w:rFonts w:ascii="Times New Roman" w:hAnsi="Times New Roman" w:cs="Times New Roman" w:eastAsia="Calibri"/>
          <w:color w:val="auto"/>
          <w:sz w:val="22"/>
          <w:szCs w:val="22"/>
        </w:rPr>
      </w:sdtPr>
      <w:sdtContent>
        <w:p>
          <w:pPr>
            <w:pStyle w:val="655"/>
          </w:pPr>
          <w:r>
            <w:rPr>
              <w:rFonts w:ascii="Times New Roman" w:hAnsi="Times New Roman" w:cs="Aharoni" w:eastAsia="Calibri" w:hint="cs"/>
              <w:color w:val="auto"/>
              <w:sz w:val="24"/>
              <w:szCs w:val="24"/>
            </w:rPr>
            <w:t xml:space="preserve">1.</w:t>
          </w:r>
          <w:r>
            <w:rPr>
              <w:rFonts w:ascii="Times New Roman" w:hAnsi="Times New Roman" w:cs="Aharoni" w:eastAsia="Calibri"/>
              <w:b/>
              <w:color w:val="auto"/>
              <w:sz w:val="24"/>
              <w:szCs w:val="24"/>
            </w:rPr>
            <w:t xml:space="preserve">Начало работы……………………………………………………………………………......1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bookmarkStart w:id="0" w:name="_GoBack"/>
          <w:r/>
          <w:bookmarkEnd w:id="0"/>
          <w:r>
            <w:rPr>
              <w:rStyle w:val="652"/>
            </w:rPr>
            <w:fldChar w:fldCharType="begin"/>
          </w:r>
          <w:r>
            <w:rPr>
              <w:rStyle w:val="652"/>
            </w:rPr>
            <w:instrText xml:space="preserve"> </w:instrText>
          </w:r>
          <w:r>
            <w:instrText xml:space="preserve">HYPERLINK \l "_Toc176182036"</w:instrText>
          </w:r>
          <w:r>
            <w:rPr>
              <w:rStyle w:val="652"/>
            </w:rPr>
            <w:instrText xml:space="preserve"> </w:instrText>
          </w:r>
          <w:r>
            <w:rPr>
              <w:rStyle w:val="652"/>
            </w:rPr>
            <w:fldChar w:fldCharType="separate"/>
          </w:r>
          <w:r>
            <w:rPr>
              <w:rStyle w:val="652"/>
              <w:rFonts w:ascii="Times New Roman" w:hAnsi="Times New Roman" w:cs="Times New Roman"/>
              <w:b/>
            </w:rPr>
            <w:t xml:space="preserve">1.</w:t>
          </w:r>
          <w:r>
            <w:rPr>
              <w:rFonts w:ascii="Calibri" w:hAnsi="Calibri" w:cs="Calibri" w:eastAsia="Calibri"/>
            </w:rPr>
            <w:tab/>
          </w:r>
          <w:r>
            <w:rPr>
              <w:rStyle w:val="652"/>
              <w:rFonts w:ascii="Times New Roman" w:hAnsi="Times New Roman" w:cs="Times New Roman"/>
              <w:b/>
            </w:rPr>
            <w:t xml:space="preserve">НАЧАЛО РАБОТЫ.</w:t>
          </w:r>
          <w:r>
            <w:tab/>
          </w:r>
          <w:r>
            <w:fldChar w:fldCharType="begin"/>
          </w:r>
          <w:r>
            <w:instrText xml:space="preserve"> PAGEREF _Toc176182036 \h </w:instrText>
          </w:r>
          <w:r>
            <w:fldChar w:fldCharType="separate"/>
            <w:t xml:space="preserve">2</w:t>
          </w:r>
          <w:r>
            <w:fldChar w:fldCharType="end"/>
          </w:r>
          <w:r>
            <w:rPr>
              <w:rStyle w:val="652"/>
            </w:rPr>
            <w:fldChar w:fldCharType="end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37" w:anchor="_Toc176182037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2.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РАЗДЕЛЫ МОДУЛЯ МАЛЫХ ЗАКУПОК.</w:t>
            </w:r>
            <w:r>
              <w:tab/>
            </w:r>
            <w:r>
              <w:fldChar w:fldCharType="begin"/>
            </w:r>
            <w:r>
              <w:instrText xml:space="preserve"> PAGEREF _Toc176182037 \h </w:instrText>
            </w:r>
            <w:r/>
            <w:r>
              <w:fldChar w:fldCharType="separate"/>
              <w:t xml:space="preserve">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38" w:anchor="_Toc176182038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СОЗДАНИЕ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_Toc176182038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39" w:anchor="_Toc176182039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Порядок создания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_Toc176182039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40" w:anchor="_Toc176182040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3.2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Отмена публикации Извещения о закупке.</w:t>
            </w:r>
            <w:r>
              <w:tab/>
            </w:r>
            <w:r>
              <w:fldChar w:fldCharType="begin"/>
            </w:r>
            <w:r>
              <w:instrText xml:space="preserve"> PAGEREF _Toc176182040 \h </w:instrText>
            </w:r>
            <w:r/>
            <w:r>
              <w:fldChar w:fldCharType="separate"/>
              <w:t xml:space="preserve">13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41" w:anchor="_Toc176182041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4.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ПРОТОКОЛА РАССМОТРЕНИЯ ЗАЯВОК НА ЗАКУПКУ И ОПРЕДЕЛЕНИЯ ПОБЕДИТЕЛЯ.</w:t>
            </w:r>
            <w:r>
              <w:tab/>
            </w:r>
            <w:r>
              <w:fldChar w:fldCharType="begin"/>
            </w:r>
            <w:r>
              <w:instrText xml:space="preserve"> PAGEREF _Toc176182041 \h </w:instrText>
            </w:r>
            <w:r/>
            <w:r>
              <w:fldChar w:fldCharType="separate"/>
              <w:t xml:space="preserve">14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42" w:anchor="_Toc176182042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ДОКУМЕНТА «МАЛАЯ ЗАКУПКА».</w:t>
            </w:r>
            <w:r>
              <w:tab/>
            </w:r>
            <w:r>
              <w:fldChar w:fldCharType="begin"/>
            </w:r>
            <w:r>
              <w:instrText xml:space="preserve"> PAGEREF _Toc176182042 \h </w:instrText>
            </w:r>
            <w:r/>
            <w:r>
              <w:fldChar w:fldCharType="separate"/>
              <w:t xml:space="preserve">18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43" w:anchor="_Toc176182043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проекта договора из опубликованного Извещения.</w:t>
            </w:r>
            <w:r>
              <w:tab/>
            </w:r>
            <w:r>
              <w:fldChar w:fldCharType="begin"/>
            </w:r>
            <w:r>
              <w:instrText xml:space="preserve"> PAGEREF _Toc176182043 \h </w:instrText>
            </w:r>
            <w:r/>
            <w:r>
              <w:fldChar w:fldCharType="separate"/>
              <w:t xml:space="preserve">18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44" w:anchor="_Toc176182044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5.2 Формирование проекта договора без публикации извещения</w:t>
            </w:r>
            <w:r>
              <w:tab/>
            </w:r>
            <w:r>
              <w:fldChar w:fldCharType="begin"/>
            </w:r>
            <w:r>
              <w:instrText xml:space="preserve"> PAGEREF _Toc176182044 \h </w:instrText>
            </w:r>
            <w:r/>
            <w:r>
              <w:fldChar w:fldCharType="separate"/>
              <w:t xml:space="preserve">22</w:t>
            </w:r>
            <w:r>
              <w:fldChar w:fldCharType="end"/>
            </w:r>
          </w:hyperlink>
          <w:r/>
          <w:r/>
        </w:p>
        <w:p>
          <w:r>
            <w:rPr>
              <w:b/>
              <w:bCs/>
            </w:rPr>
            <w:fldChar w:fldCharType="end"/>
          </w:r>
          <w:r/>
        </w:p>
      </w:sdtContent>
    </w:sdt>
    <w:p>
      <w:pPr>
        <w:rPr>
          <w:sz w:val="28"/>
          <w:szCs w:val="28"/>
        </w:rPr>
        <w:outlineLvl w:val="0"/>
      </w:pPr>
      <w:r>
        <w:br w:type="page"/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1" w:name="_Toc527017296"/>
      <w:r/>
      <w:bookmarkStart w:id="2" w:name="_Toc176182036"/>
      <w:r>
        <w:rPr>
          <w:rFonts w:ascii="Times New Roman" w:hAnsi="Times New Roman" w:cs="Times New Roman"/>
          <w:b/>
          <w:sz w:val="28"/>
          <w:szCs w:val="28"/>
        </w:rPr>
        <w:t xml:space="preserve">НАЧАЛО РАБОТЫ.</w:t>
      </w:r>
      <w:bookmarkEnd w:id="1"/>
      <w:r/>
      <w:bookmarkEnd w:id="2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для работы в Модуле Малых закупок (далее Модуль МЗ) находится по ссылке   </w:t>
      </w:r>
      <w:hyperlink r:id="rId9" w:tooltip="http://goszakupki.admin-smolensk.ru/smallpurchases" w:history="1"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http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://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goszakupki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admin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smolensk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smallpurchases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систему для заказчика может осуществляться двумя способами:</w:t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портал «Малые закупки Смоленской области». </w:t>
      </w:r>
      <w:r>
        <w:rPr>
          <w:rFonts w:ascii="Times New Roman" w:hAnsi="Times New Roman" w:cs="Times New Roman"/>
          <w:sz w:val="28"/>
          <w:szCs w:val="28"/>
        </w:rPr>
        <w:t xml:space="preserve">Необходимо нажать кнопку «Вход для заказчиков» и ввести регистрационные данные, полученные для работы в АИС ГЗ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438650"/>
                <wp:effectExtent l="0" t="0" r="0" b="0"/>
                <wp:docPr id="1" name="Рисунок 12" descr="C:\Users\Isaeva_ES\Desktop\МЗ\МЗ Инструкции\МЗ Инструкции арт\вход зак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C:\Users\Isaeva_ES\Desktop\МЗ\МЗ Инструкции\МЗ Инструкции арт\вход зак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34075" cy="443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7.2pt;height:349.5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</w:t>
      </w:r>
      <w:r>
        <w:rPr>
          <w:rFonts w:ascii="Times New Roman" w:hAnsi="Times New Roman" w:cs="Times New Roman"/>
          <w:sz w:val="28"/>
          <w:szCs w:val="28"/>
        </w:rPr>
        <w:t xml:space="preserve">1. Главная страница портала Малых закупок. Вход для заказчиков.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сайт Государственных закупок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tooltip="http://goszakupki.admin-smolensk.ru" w:history="1"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http://goszakupki.admin-smolensk.ru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), разде</w:t>
      </w:r>
      <w:r>
        <w:rPr>
          <w:rFonts w:ascii="Times New Roman" w:hAnsi="Times New Roman" w:cs="Times New Roman"/>
          <w:sz w:val="28"/>
          <w:szCs w:val="28"/>
        </w:rPr>
        <w:t xml:space="preserve">л «Авторизация»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1.2.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57750" cy="4229100"/>
                <wp:effectExtent l="0" t="0" r="0" b="0"/>
                <wp:docPr id="2" name="Рисунок 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857750" cy="422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382.5pt;height:333.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1.2. Регистрация для работы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11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должен открыться АРМ в котором отображается папка «Модуль «Малые закупки» </w:t>
      </w: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(Рисунок 1.3) </w:t>
      </w:r>
      <w:r>
        <w:rPr>
          <w:rFonts w:ascii="Times New Roman" w:hAnsi="Times New Roman" w:cs="Times New Roman"/>
          <w:sz w:val="28"/>
          <w:szCs w:val="28"/>
        </w:rPr>
        <w:t xml:space="preserve">следующего вида. 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6392" cy="4242093"/>
                <wp:effectExtent l="0" t="0" r="0" b="0"/>
                <wp:docPr id="3" name="Рисунок 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26392" cy="42420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66.6pt;height:334.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1.3.</w:t>
      </w:r>
      <w:r>
        <w:rPr>
          <w:rFonts w:ascii="Times New Roman" w:hAnsi="Times New Roman" w:cs="Times New Roman"/>
          <w:sz w:val="28"/>
          <w:szCs w:val="28"/>
        </w:rPr>
        <w:t xml:space="preserve">Отображение Модуля «Малые закупки» в АРМ заказчика.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Ваше внимание, что ознакомиться с настройкой рабочего места вы можете в общей инструкции по работе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3" w:name="_Toc176182037"/>
      <w:r>
        <w:rPr>
          <w:rFonts w:ascii="Times New Roman" w:hAnsi="Times New Roman" w:cs="Times New Roman"/>
          <w:b/>
          <w:sz w:val="28"/>
          <w:szCs w:val="28"/>
        </w:rPr>
        <w:t xml:space="preserve">РАЗДЕЛЫ МОДУЛЯ МАЛЫХ ЗАКУПОК.</w:t>
      </w:r>
      <w:bookmarkEnd w:id="3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Модуль малые закупки содержит следующие разделы: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1)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Извещения МЗ</w:t>
      </w:r>
      <w:r>
        <w:rPr>
          <w:rFonts w:ascii="Times New Roman" w:hAnsi="Times New Roman" w:cs="Times New Roman"/>
          <w:sz w:val="28"/>
          <w:szCs w:val="28"/>
        </w:rPr>
        <w:t xml:space="preserve"> 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– служит для формирования извещения о закупке с заполнением его реквизитного состава.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извещения, которые размещены в открытой части портала и на которые начался прием заявок от участников Ма</w:t>
      </w:r>
      <w:r>
        <w:rPr>
          <w:rFonts w:ascii="Times New Roman" w:hAnsi="Times New Roman" w:cs="Times New Roman"/>
          <w:sz w:val="28"/>
          <w:szCs w:val="28"/>
        </w:rPr>
        <w:t xml:space="preserve">лой закупки. 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Публикация отменена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заказчик решил не проводить закупку и отменил публикацию Извещения МЗ на портале.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Подведение итогов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наступил срок окончания приема заявок от участников Ма</w:t>
      </w:r>
      <w:r>
        <w:rPr>
          <w:rFonts w:ascii="Times New Roman" w:hAnsi="Times New Roman" w:cs="Times New Roman"/>
          <w:sz w:val="28"/>
          <w:szCs w:val="28"/>
        </w:rPr>
        <w:t xml:space="preserve">лой закупки и автоматически сформировался протокола рассмотрения заявок.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опубликован протокол рассмотрения заявок и определено соответствие поставщиков товаров/работ/услуг.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Закупка не сост</w:t>
      </w:r>
      <w:r>
        <w:rPr>
          <w:rFonts w:ascii="Times New Roman" w:hAnsi="Times New Roman" w:cs="Times New Roman"/>
          <w:i/>
          <w:sz w:val="28"/>
          <w:szCs w:val="28"/>
        </w:rPr>
        <w:t xml:space="preserve">оялась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не было подано ни одной заявки или в которых заказчик признал все заявки не соответствующими.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Отказ от заключения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в силу каких-либо причин заказчик решил не заключать контр</w:t>
      </w:r>
      <w:r>
        <w:rPr>
          <w:rFonts w:ascii="Times New Roman" w:hAnsi="Times New Roman" w:cs="Times New Roman"/>
          <w:sz w:val="28"/>
          <w:szCs w:val="28"/>
        </w:rPr>
        <w:t xml:space="preserve">акт с участником малой закупки.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- содержит протоколы, по которым осуществляется процедура рассмотрения заявок участников малой закупки.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Опубликовано </w:t>
      </w:r>
      <w:r>
        <w:rPr>
          <w:rFonts w:ascii="Times New Roman" w:hAnsi="Times New Roman" w:cs="Times New Roman"/>
          <w:sz w:val="28"/>
          <w:szCs w:val="28"/>
        </w:rPr>
        <w:t xml:space="preserve">- содержит опубликованные протоколы, которые можно увидеть в откры</w:t>
      </w:r>
      <w:r>
        <w:rPr>
          <w:rFonts w:ascii="Times New Roman" w:hAnsi="Times New Roman" w:cs="Times New Roman"/>
          <w:sz w:val="28"/>
          <w:szCs w:val="28"/>
        </w:rPr>
        <w:t xml:space="preserve">той части сайта.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 публикацией извещения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sz w:val="28"/>
          <w:szCs w:val="28"/>
        </w:rPr>
        <w:t xml:space="preserve"> – формируется из </w:t>
      </w:r>
      <w:r>
        <w:rPr>
          <w:rFonts w:ascii="Times New Roman" w:hAnsi="Times New Roman" w:cs="Times New Roman"/>
          <w:i/>
          <w:sz w:val="28"/>
          <w:szCs w:val="28"/>
        </w:rPr>
        <w:t xml:space="preserve">Извещения</w:t>
      </w:r>
      <w:r>
        <w:rPr>
          <w:rFonts w:ascii="Times New Roman" w:hAnsi="Times New Roman" w:cs="Times New Roman"/>
          <w:sz w:val="28"/>
          <w:szCs w:val="28"/>
        </w:rPr>
        <w:t xml:space="preserve"> (фильтр «</w:t>
      </w: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») служит для формирования проекта государственного контракта путем запо</w:t>
      </w:r>
      <w:r>
        <w:rPr>
          <w:rFonts w:ascii="Times New Roman" w:hAnsi="Times New Roman" w:cs="Times New Roman"/>
          <w:sz w:val="28"/>
          <w:szCs w:val="28"/>
        </w:rPr>
        <w:t xml:space="preserve">лнения его реквизитного состава.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Проект договора без публикации извещения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 – </w:t>
      </w:r>
      <w:r>
        <w:rPr>
          <w:rFonts w:ascii="Times New Roman" w:hAnsi="Times New Roman" w:cs="Times New Roman"/>
          <w:sz w:val="28"/>
          <w:szCs w:val="28"/>
        </w:rPr>
        <w:t xml:space="preserve">служит для создания проекта договора, по которому не предусмотрено формирование Извещения.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согласовании–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</w:t>
      </w:r>
      <w:r>
        <w:rPr>
          <w:rFonts w:ascii="Times New Roman" w:hAnsi="Times New Roman" w:cs="Times New Roman"/>
          <w:sz w:val="28"/>
          <w:szCs w:val="28"/>
        </w:rPr>
        <w:t xml:space="preserve">а согласование.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4.3) На доработке -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на доработку.</w:t>
      </w:r>
      <w:r/>
    </w:p>
    <w:p>
      <w:pPr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4.4) Согласованно </w:t>
      </w:r>
      <w:r>
        <w:rPr>
          <w:rFonts w:ascii="Times New Roman" w:hAnsi="Times New Roman" w:cs="Times New Roman"/>
          <w:sz w:val="28"/>
          <w:szCs w:val="28"/>
        </w:rPr>
        <w:t xml:space="preserve">–содержит в себе документы, прошедшие согласование,    согласованные.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Реестр Малых закупок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информаци</w:t>
      </w:r>
      <w:r>
        <w:rPr>
          <w:rFonts w:ascii="Times New Roman" w:hAnsi="Times New Roman" w:cs="Times New Roman"/>
          <w:sz w:val="28"/>
          <w:szCs w:val="28"/>
        </w:rPr>
        <w:t xml:space="preserve">ю о всех заключенных контрактах, отправленных в реестр.</w:t>
      </w:r>
      <w:r/>
    </w:p>
    <w:p>
      <w:r>
        <w:br w:type="page"/>
      </w:r>
      <w:r/>
    </w:p>
    <w:p>
      <w:r/>
      <w:r/>
    </w:p>
    <w:p>
      <w:pPr>
        <w:pStyle w:val="653"/>
        <w:numPr>
          <w:ilvl w:val="0"/>
          <w:numId w:val="3"/>
        </w:numPr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4" w:name="_Toc176182038"/>
      <w:r>
        <w:rPr>
          <w:rFonts w:ascii="Times New Roman" w:hAnsi="Times New Roman" w:cs="Times New Roman"/>
          <w:b/>
          <w:sz w:val="28"/>
          <w:szCs w:val="28"/>
        </w:rPr>
        <w:t xml:space="preserve">СОЗДАНИЕ ИЗВЕЩЕНИЯ О ПРОВЕДЕНИИ МАЛОЙ ЗАКУПКИ.</w:t>
      </w:r>
      <w:bookmarkEnd w:id="4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5" w:name="_Toc176182039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Порядок создания Извещения о проведении малой закупки.</w:t>
      </w:r>
      <w:bookmarkEnd w:id="5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формирования Извещения необходимо в АИС ГЗ в папке «Модуль «Малые закупки» перейти в папк</w:t>
      </w:r>
      <w:r>
        <w:rPr>
          <w:rFonts w:ascii="Times New Roman" w:hAnsi="Times New Roman" w:cs="Times New Roman"/>
          <w:sz w:val="28"/>
          <w:szCs w:val="28"/>
        </w:rPr>
        <w:t xml:space="preserve">у «Извещения» и выбрать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. В открывшемся фильтре нажать на кнопку «Создать»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17929"/>
                <wp:effectExtent l="0" t="0" r="0" b="0"/>
                <wp:docPr id="4" name="Рисунок 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3" cy="3717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67.8pt;height:292.8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3.1.1. Создание Извещения.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создания извещения оно откроется автоматически в новом окне с заполненными полями «Дата» (текущая дата создания) и «Заказчик».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5462" cy="3774213"/>
                <wp:effectExtent l="0" t="0" r="0" b="0"/>
                <wp:docPr id="5" name="Рисунок 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685460" cy="37742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47.7pt;height:297.2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3.1.2. Сформированное Извещение.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корректного заполнения документа в «шапке» необходимо указать: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Категория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Объект закупки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наименование закупаемых товаров/работ/услуг.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Способ определения поставщика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НМЦК</w:t>
      </w:r>
      <w:r>
        <w:rPr>
          <w:rFonts w:ascii="Times New Roman" w:hAnsi="Times New Roman" w:cs="Times New Roman"/>
          <w:sz w:val="28"/>
          <w:szCs w:val="28"/>
        </w:rPr>
        <w:t xml:space="preserve"> заполняется автоматически после ввода суммы по годам во вкладке «Финансирование».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Ном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ер</w:t>
      </w:r>
      <w:r>
        <w:rPr>
          <w:rFonts w:ascii="Times New Roman" w:hAnsi="Times New Roman" w:cs="Times New Roman"/>
          <w:sz w:val="28"/>
          <w:szCs w:val="28"/>
        </w:rPr>
        <w:t xml:space="preserve"> Извещения присваивается автоматически после сохранения заполненного Извещения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3.1.3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6974" cy="3861515"/>
                <wp:effectExtent l="0" t="0" r="0" b="0"/>
                <wp:docPr id="6" name="Рисунок 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816972" cy="3861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458.0pt;height:304.1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3.1.3. Документ «Извещение».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детализации закупаемых товаров/работ/услуг во вкладке «Товары/работы/услуги» заполняются следующие данные: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Код</w:t>
      </w:r>
      <w:r>
        <w:rPr>
          <w:rFonts w:ascii="Times New Roman" w:hAnsi="Times New Roman" w:cs="Times New Roman"/>
          <w:sz w:val="28"/>
          <w:szCs w:val="28"/>
        </w:rPr>
        <w:t xml:space="preserve">. В</w:t>
      </w:r>
      <w:r>
        <w:rPr>
          <w:rFonts w:ascii="Times New Roman" w:hAnsi="Times New Roman" w:cs="Times New Roman"/>
          <w:sz w:val="28"/>
          <w:szCs w:val="28"/>
        </w:rPr>
        <w:t xml:space="preserve">ыбирается из справочника кодов ОКПД2.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Единица измерения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Количество</w:t>
      </w:r>
      <w:r>
        <w:rPr>
          <w:rFonts w:ascii="Times New Roman" w:hAnsi="Times New Roman" w:cs="Times New Roman"/>
          <w:sz w:val="28"/>
          <w:szCs w:val="28"/>
        </w:rPr>
        <w:t xml:space="preserve">. В поле указывается количество закупаемой продукции.</w:t>
      </w:r>
      <w:r/>
    </w:p>
    <w:p>
      <w:pPr>
        <w:pStyle w:val="653"/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Стоимость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полная стоимость по позиции товара/работы/услуги.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возможно добавить</w:t>
      </w:r>
      <w:r>
        <w:rPr>
          <w:rFonts w:ascii="Times New Roman" w:hAnsi="Times New Roman" w:cs="Times New Roman"/>
          <w:sz w:val="28"/>
          <w:szCs w:val="28"/>
        </w:rPr>
        <w:t xml:space="preserve"> новую строку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7175" cy="209550"/>
                <wp:effectExtent l="0" t="0" r="0" b="0"/>
                <wp:docPr id="7" name="Рисунок 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257175" cy="2095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20.2pt;height:16.5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Добавить строку</w:t>
      </w:r>
      <w:r>
        <w:rPr>
          <w:rFonts w:ascii="Times New Roman" w:hAnsi="Times New Roman" w:cs="Times New Roman"/>
          <w:sz w:val="28"/>
          <w:szCs w:val="28"/>
        </w:rPr>
        <w:t xml:space="preserve">].</w:t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«Финансирование» заполняются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3.1.4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КБК из плана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Сведения подгружаются из опубликованного на ЕИС соответствующего Лота Плана-графика закупок.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1 года (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2 года и Сумма 3 года при необходимости).</w:t>
      </w:r>
      <w:r/>
    </w:p>
    <w:p>
      <w:pPr>
        <w:pStyle w:val="653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85173" cy="2818336"/>
                <wp:effectExtent l="0" t="0" r="0" b="0"/>
                <wp:docPr id="8" name="Рисунок 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585172" cy="281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439.8pt;height:221.9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3.1.4. Извещение, вкладка «Финансирование».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случае, если справочнике «КБК из плана» отсутствуют строки из Лота ПГ, необходимо проверить корректность выбранного способа определения поставщика</w:t>
      </w:r>
      <w:r>
        <w:rPr>
          <w:rFonts w:ascii="Times New Roman" w:hAnsi="Times New Roman" w:cs="Times New Roman"/>
          <w:i/>
          <w:sz w:val="28"/>
          <w:szCs w:val="28"/>
        </w:rPr>
        <w:t xml:space="preserve"> в Извещении МЗ, а так же, статус соответствующего Лота ПГ (должен быть «Опубликовано»).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«Требования»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3.1.5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начала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Присваивается системой автоматически при публикации Извещения (дата и время публикации).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окончания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Должен быть не менее срока, указанного в регламенте.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 и условия оплаты товара,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Место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Сроки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Сведения о включен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ных (не включённых) в цену товаров, работ, услуг расходах, в том числе расходах на перевозку, страхование, уплату таможенных пошлин, налогов, сборов и других обязательных платежей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15448" cy="3056985"/>
                <wp:effectExtent l="0" t="0" r="0" b="0"/>
                <wp:docPr id="9" name="Рисунок 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615447" cy="3056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363.4pt;height:240.7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3.1.5. Извещение, вкладка «Условия договора».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«Контактные данные» заполняются(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3.1.6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ФИО</w:t>
      </w:r>
      <w:r>
        <w:rPr>
          <w:rFonts w:ascii="Times New Roman" w:hAnsi="Times New Roman" w:cs="Times New Roman"/>
          <w:sz w:val="28"/>
          <w:szCs w:val="28"/>
        </w:rPr>
        <w:t xml:space="preserve">. Фамилия, имя и отчество сотрудника, ответственного за проведение Малой закупки (через пробел, прописывается полностью).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Телефон</w:t>
      </w:r>
      <w:r>
        <w:rPr>
          <w:rFonts w:ascii="Times New Roman" w:hAnsi="Times New Roman" w:cs="Times New Roman"/>
          <w:sz w:val="28"/>
          <w:szCs w:val="28"/>
        </w:rPr>
        <w:t xml:space="preserve">. Контактный номер ответственного сотрудника.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E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 w:cs="Times New Roman"/>
          <w:sz w:val="28"/>
          <w:szCs w:val="28"/>
        </w:rPr>
        <w:t xml:space="preserve">. Контактная </w:t>
      </w:r>
      <w:r>
        <w:rPr>
          <w:rFonts w:ascii="Times New Roman" w:hAnsi="Times New Roman" w:cs="Times New Roman"/>
          <w:sz w:val="28"/>
          <w:szCs w:val="28"/>
        </w:rPr>
        <w:t xml:space="preserve">электронная почта.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57761" cy="2703497"/>
                <wp:effectExtent l="0" t="0" r="0" b="0"/>
                <wp:docPr id="10" name="Рисунок 1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4357759" cy="2703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343.1pt;height:212.9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3.1.6. Извещение, вкладка «Контактные данные».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того, как извещение будет заполнено, необходимо сохранить документ и прикрепить к нему проект контракта (без сумм) выбрав тип файла «Проект государственного контракта (малая</w:t>
      </w:r>
      <w:r>
        <w:rPr>
          <w:rFonts w:ascii="Times New Roman" w:hAnsi="Times New Roman" w:cs="Times New Roman"/>
          <w:sz w:val="28"/>
          <w:szCs w:val="28"/>
        </w:rPr>
        <w:t xml:space="preserve"> закупка)», а также, необходимые характеристики закупаемого товара/работы/услуги (в случае, если к закупаемому товару/работе/услуги есть дополнительные требования).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при заполнении были введены не корректные данные или часть обязательных полей была не </w:t>
      </w:r>
      <w:r>
        <w:rPr>
          <w:rFonts w:ascii="Times New Roman" w:hAnsi="Times New Roman" w:cs="Times New Roman"/>
          <w:sz w:val="28"/>
          <w:szCs w:val="28"/>
        </w:rPr>
        <w:t xml:space="preserve">заполнена, система выдаст предварительный контроль с указанием обязательных к заполнению или исправлению полей.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обновить страницу, чтобы документ отобразился в текущем фильтре.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Сформированное и заполненное извещение необходимо выделить, подписать ЭП и отправить на публикацию, нажав соответствующую кнопку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3.1.7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34214"/>
                <wp:effectExtent l="0" t="0" r="0" b="0"/>
                <wp:docPr id="11" name="Рисунок 11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40423" cy="1034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467.8pt;height:81.4pt;" stroked="false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3.1.7. Публикация Извещения.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Опубликованное Извещение в АИС ГЗ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«Объявлены»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портале Модуля МЗ опубликованное Извещение отобразится во вкладке «Извещения» со статусом «Подача заявок»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3.1.8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67416" cy="3169048"/>
                <wp:effectExtent l="0" t="0" r="0" b="0"/>
                <wp:docPr id="12" name="Рисунок 21" descr="C:\Users\Isaeva_ES\Desktop\МЗ\МЗ Инструкции\МЗ Инструкции\МЗ Инструкции\МЗ Инструкции арт\Извещение на портале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" descr="C:\Users\Isaeva_ES\Desktop\МЗ\МЗ Инструкции\МЗ Инструкции\МЗ Инструкции\МЗ Инструкции арт\Извещение на портале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4673640" cy="317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367.5pt;height:249.5pt;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3.1.8. Извещение, опубликованное на Портале модуля Малых закупок.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6" w:name="_Toc176182040"/>
      <w:r>
        <w:rPr>
          <w:rFonts w:ascii="Times New Roman" w:hAnsi="Times New Roman" w:cs="Times New Roman"/>
          <w:b/>
          <w:sz w:val="28"/>
          <w:szCs w:val="28"/>
        </w:rPr>
        <w:t xml:space="preserve">Отмена публикации Извещения о закупке.</w:t>
      </w:r>
      <w:bookmarkEnd w:id="6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заказчик может отменить опубликованное Извещение о закупке. Для этого предусмотрена функция отмены в фильтре «</w:t>
      </w:r>
      <w:r>
        <w:rPr>
          <w:rFonts w:ascii="Times New Roman" w:hAnsi="Times New Roman" w:cs="Times New Roman"/>
          <w:b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0347" cy="240677"/>
                <wp:effectExtent l="0" t="0" r="0" b="0"/>
                <wp:docPr id="13" name="Рисунок 1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310345" cy="2406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mso-wrap-distance-left:0.0pt;mso-wrap-distance-top:0.0pt;mso-wrap-distance-right:0.0pt;mso-wrap-distance-bottom:0.0pt;width:24.4pt;height:19.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Отменить публикацию (Рисунок 3.2.1)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17491"/>
                <wp:effectExtent l="0" t="0" r="0" b="0"/>
                <wp:docPr id="14" name="Рисунок 1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40423" cy="1517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mso-wrap-distance-left:0.0pt;mso-wrap-distance-top:0.0pt;mso-wrap-distance-right:0.0pt;mso-wrap-distance-bottom:0.0pt;width:467.8pt;height:119.5pt;" stroked="false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657"/>
        <w:ind w:firstLine="709"/>
        <w:spacing w:lineRule="auto" w:line="360" w:after="0" w:before="0"/>
        <w:rPr>
          <w:b w:val="false"/>
          <w:sz w:val="28"/>
          <w:szCs w:val="28"/>
        </w:rPr>
      </w:pPr>
      <w:r/>
      <w:bookmarkStart w:id="7" w:name="_Ref427060893"/>
      <w:r>
        <w:rPr>
          <w:b w:val="false"/>
          <w:sz w:val="28"/>
          <w:szCs w:val="28"/>
        </w:rPr>
        <w:t xml:space="preserve">Рисунок3.2.1</w:t>
      </w:r>
      <w:bookmarkEnd w:id="7"/>
      <w:r>
        <w:rPr>
          <w:b w:val="false"/>
          <w:sz w:val="28"/>
          <w:szCs w:val="28"/>
        </w:rPr>
        <w:t xml:space="preserve">. Отмена публикации извещения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отмены публикации</w:t>
      </w:r>
      <w:r>
        <w:rPr>
          <w:rFonts w:ascii="Times New Roman" w:hAnsi="Times New Roman" w:cs="Times New Roman"/>
          <w:sz w:val="28"/>
          <w:szCs w:val="28"/>
        </w:rPr>
        <w:t xml:space="preserve"> отмененное извещение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«Публикация отменена».</w:t>
      </w:r>
      <w:r>
        <w:rPr>
          <w:rFonts w:ascii="Times New Roman" w:hAnsi="Times New Roman" w:cs="Times New Roman"/>
          <w:sz w:val="28"/>
          <w:szCs w:val="28"/>
        </w:rPr>
        <w:t xml:space="preserve"> При этом опубликованное извещение на сайте удаляется из реестра извещений закупок малого объема.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опубликованное извещение не предусмотрено регламентом работы в модуле «Малы</w:t>
      </w:r>
      <w:r>
        <w:rPr>
          <w:rFonts w:ascii="Times New Roman" w:hAnsi="Times New Roman" w:cs="Times New Roman"/>
          <w:sz w:val="28"/>
          <w:szCs w:val="28"/>
        </w:rPr>
        <w:t xml:space="preserve">е закупки». При необходимости заказчик может отменить Извещение и снова опубликовать заново сформированный документ с измененными параметрами закупки.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numPr>
          <w:ilvl w:val="0"/>
          <w:numId w:val="3"/>
        </w:numPr>
        <w:ind w:left="1066" w:hanging="357"/>
        <w:jc w:val="center"/>
        <w:spacing w:lineRule="auto" w:line="36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8" w:name="_Toc176182041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ПРОТОКОЛА РАССМОТРЕНИЯ ЗАЯВОК НА ЗАКУПКУ И ОПРЕДЕЛЕНИЯ ПОБЕДИТЕЛЯ.</w:t>
      </w:r>
      <w:bookmarkEnd w:id="8"/>
      <w:r/>
      <w:r/>
    </w:p>
    <w:p>
      <w:pPr>
        <w:pStyle w:val="659"/>
        <w:ind w:left="1129" w:firstLine="0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срока подачи заявок на участие в закупке, указанного в опубликованном на сайте извещении, участники закупок подают заявки на участие в закупке, сведения о которых будут доступны заказчику только после окончания срока подачи заявок.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15" name="Рисунок 32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7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mso-wrap-distance-left:0.0pt;mso-wrap-distance-top:0.0pt;mso-wrap-distance-right:0.0pt;mso-wrap-distance-bottom:0.0pt;width:23.8pt;height:23.8pt;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Заказчик мож</w: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ет посмотреть количество заявившихся поставщиков в папке «Извещение» фильтр «Объявлены» в колонке «Количество заявок участника».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истечении срока подачи заявок на участие в закупке соответствующий документ «Извещение МЗ» переходит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«Подведение итогов»</w:t>
      </w:r>
      <w:r>
        <w:rPr>
          <w:rFonts w:ascii="Times New Roman" w:hAnsi="Times New Roman" w:cs="Times New Roman"/>
          <w:sz w:val="28"/>
          <w:szCs w:val="28"/>
        </w:rPr>
        <w:t xml:space="preserve">, при этом автоматически осуществляется формирование документа «Протокол МЗ».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протокол доступен для дальнейшего заполнения 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 в папке «Протокол».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рассмотрения поданных заявок необходимо открыть сформи</w:t>
      </w:r>
      <w:r>
        <w:rPr>
          <w:rFonts w:ascii="Times New Roman" w:hAnsi="Times New Roman" w:cs="Times New Roman"/>
          <w:sz w:val="28"/>
          <w:szCs w:val="28"/>
        </w:rPr>
        <w:t xml:space="preserve">рованный протокол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9687" cy="273355"/>
                <wp:effectExtent l="0" t="0" r="0" b="0"/>
                <wp:docPr id="16" name="Рисунок 1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259686" cy="2733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mso-wrap-distance-left:0.0pt;mso-wrap-distance-top:0.0pt;mso-wrap-distance-right:0.0pt;mso-wrap-distance-bottom:0.0pt;width:20.4pt;height:21.5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Редактировать</w:t>
      </w:r>
      <w:r>
        <w:rPr>
          <w:rFonts w:ascii="Times New Roman" w:hAnsi="Times New Roman" w:cs="Times New Roman"/>
          <w:sz w:val="28"/>
          <w:szCs w:val="28"/>
        </w:rPr>
        <w:t xml:space="preserve">, предварительно выделив его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381821"/>
                <wp:effectExtent l="0" t="0" r="0" b="0"/>
                <wp:docPr id="17" name="Рисунок 1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940423" cy="5381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mso-wrap-distance-left:0.0pt;mso-wrap-distance-top:0.0pt;mso-wrap-distance-right:0.0pt;mso-wrap-distance-bottom:0.0pt;width:467.8pt;height:423.8pt;" stroked="false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spacing w:after="0" w:before="0"/>
        <w:rPr>
          <w:b w:val="false"/>
          <w:sz w:val="28"/>
          <w:szCs w:val="28"/>
        </w:rPr>
      </w:pPr>
      <w:r/>
      <w:bookmarkStart w:id="9" w:name="_Ref427064470"/>
      <w:r>
        <w:rPr>
          <w:b w:val="false"/>
          <w:sz w:val="28"/>
          <w:szCs w:val="28"/>
        </w:rPr>
        <w:t xml:space="preserve">Рисунок </w:t>
      </w:r>
      <w:bookmarkEnd w:id="9"/>
      <w:r>
        <w:rPr>
          <w:b w:val="false"/>
          <w:sz w:val="28"/>
          <w:szCs w:val="28"/>
        </w:rPr>
        <w:t xml:space="preserve">4.1. Протокол рассмотрения заявок на закупку и определения победителя.</w:t>
      </w:r>
      <w:r/>
    </w:p>
    <w:p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протокола осуществляется автоматическое ранжирование с учетом лучшего ценового предложения, дате и времени подачи заявки.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 на соответствие требований, указанных в извещении (в том числе сведений в п</w:t>
      </w:r>
      <w:r>
        <w:rPr>
          <w:rFonts w:ascii="Times New Roman" w:hAnsi="Times New Roman" w:cs="Times New Roman"/>
          <w:sz w:val="28"/>
          <w:szCs w:val="28"/>
        </w:rPr>
        <w:t xml:space="preserve">рикрепленных файлах), и определяет победителя.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сведений о заявке участника закупки необходимо дважды нажать по значению в поле «Номер заявки в журнале регистрации» во вкладке «Результат работы комиссии». В открывшейся форме заявки участника </w:t>
      </w:r>
      <w:r>
        <w:rPr>
          <w:rFonts w:ascii="Times New Roman" w:hAnsi="Times New Roman" w:cs="Times New Roman"/>
          <w:sz w:val="28"/>
          <w:szCs w:val="28"/>
        </w:rPr>
        <w:t xml:space="preserve">отображается информация об участнике закупки, а также о цене предложения.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4.2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46155"/>
                <wp:effectExtent l="0" t="0" r="0" b="0"/>
                <wp:docPr id="18" name="Рисунок 1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940423" cy="30461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mso-wrap-distance-left:0.0pt;mso-wrap-distance-top:0.0pt;mso-wrap-distance-right:0.0pt;mso-wrap-distance-bottom:0.0pt;width:467.8pt;height:239.9pt;" stroked="false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pStyle w:val="657"/>
        <w:spacing w:lineRule="auto" w:line="360" w:after="0" w:before="0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Рисунок 4.2. Заявки поставщиков</w:t>
      </w:r>
      <w:r/>
    </w:p>
    <w:p>
      <w:r/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прикрепленных файлов участником закупки следует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4325" cy="209550"/>
                <wp:effectExtent l="0" t="0" r="0" b="0"/>
                <wp:docPr id="19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9"/>
                        <a:srcRect l="22487" t="2803" r="14355" b="40277"/>
                        <a:stretch/>
                      </pic:blipFill>
                      <pic:spPr bwMode="auto">
                        <a:xfrm>
                          <a:off x="0" y="0"/>
                          <a:ext cx="314323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mso-wrap-distance-left:0.0pt;mso-wrap-distance-top:0.0pt;mso-wrap-distance-right:0.0pt;mso-wrap-distance-bottom:0.0pt;width:24.8pt;height:16.5pt;" stroked="false">
                <v:path textboxrect="0,0,0,0"/>
                <v:imagedata r:id="rId2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Прикрепленные файлы</w:t>
      </w:r>
      <w:r>
        <w:rPr>
          <w:rFonts w:ascii="Times New Roman" w:hAnsi="Times New Roman" w:cs="Times New Roman"/>
          <w:sz w:val="28"/>
          <w:szCs w:val="28"/>
        </w:rPr>
        <w:t xml:space="preserve">] открыть список прикрепленных докумен</w:t>
      </w:r>
      <w:r>
        <w:rPr>
          <w:rFonts w:ascii="Times New Roman" w:hAnsi="Times New Roman" w:cs="Times New Roman"/>
          <w:sz w:val="28"/>
          <w:szCs w:val="28"/>
        </w:rPr>
        <w:t xml:space="preserve">тов </w:t>
      </w:r>
      <w:r>
        <w:rPr>
          <w:rFonts w:ascii="Times New Roman" w:hAnsi="Times New Roman" w:cs="Times New Roman"/>
          <w:i/>
          <w:sz w:val="28"/>
          <w:szCs w:val="28"/>
        </w:rPr>
        <w:t xml:space="preserve">(Рисунок 4.3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/>
    </w:p>
    <w:p>
      <w:pPr>
        <w:jc w:val="center"/>
        <w:spacing w:lineRule="auto" w:line="360" w:after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90020"/>
                <wp:effectExtent l="0" t="0" r="0" b="0"/>
                <wp:docPr id="20" name="Рисунок 2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940424" cy="3890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mso-wrap-distance-left:0.0pt;mso-wrap-distance-top:0.0pt;mso-wrap-distance-right:0.0pt;mso-wrap-distance-bottom:0.0pt;width:467.8pt;height:306.3pt;" stroked="false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4.3. Карточка предложения поставщика в Протоколе.</w:t>
      </w:r>
      <w:r/>
    </w:p>
    <w:p>
      <w:pPr>
        <w:pStyle w:val="661"/>
        <w:ind w:firstLine="709"/>
        <w:spacing w:lineRule="auto" w:line="360"/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1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02259" cy="302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23.8pt;height:23.8pt;">
                <v:path textboxrect="0,0,0,0"/>
                <v:imagedata r:id="rId31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После нажатия на кнопку «Прикрепленные файлы» в рабочей области откроется новая вкладка, для просмотра необходимо закрыть карточку предложения поставщика (рисунок 4.3).</w:t>
      </w:r>
      <w:r/>
    </w:p>
    <w:p>
      <w:pPr>
        <w:pStyle w:val="659"/>
      </w:pPr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</w:t>
      </w:r>
      <w:r>
        <w:rPr>
          <w:rFonts w:ascii="Times New Roman" w:hAnsi="Times New Roman" w:cs="Times New Roman"/>
          <w:sz w:val="28"/>
          <w:szCs w:val="28"/>
        </w:rPr>
        <w:t xml:space="preserve">чик осуществляет рассмотрение заявок, поданных на участие в закупке на предмет соответствия требованиям, установленным в извещении о закупке, и по результатам рассмотрения в документе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в столбце «Результаты рассмотрения заявок» проставляет каждой</w:t>
      </w:r>
      <w:r>
        <w:rPr>
          <w:rFonts w:ascii="Times New Roman" w:hAnsi="Times New Roman" w:cs="Times New Roman"/>
          <w:sz w:val="28"/>
          <w:szCs w:val="28"/>
        </w:rPr>
        <w:t xml:space="preserve"> из них статус «Соответствует» или «Не соответствует».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меняется вручную в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Рейтинг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минимальный рейтинг устанавливается победителю закупки с наименьшим ценовым предложением автоматически</w:t>
      </w:r>
      <w:r>
        <w:rPr>
          <w:rFonts w:ascii="Times New Roman" w:hAnsi="Times New Roman" w:cs="Times New Roman"/>
          <w:sz w:val="28"/>
          <w:szCs w:val="28"/>
        </w:rPr>
        <w:t xml:space="preserve"> (участник закупки с рейтингом 1 – будет отображаться в протоколе как победитель, заявку такого поставщика необходимо отметить в соответствующем поле). Заказчику необходимо заполнить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Мотивировочная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с указанием причины выбора победителем участн</w:t>
      </w:r>
      <w:r>
        <w:rPr>
          <w:rFonts w:ascii="Times New Roman" w:hAnsi="Times New Roman" w:cs="Times New Roman"/>
          <w:sz w:val="28"/>
          <w:szCs w:val="28"/>
        </w:rPr>
        <w:t xml:space="preserve">ика закупки, предложившего цену контракта, превышающую минимальное предложение.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Если заявка поставщика по решению заказчика не соответствует, поле «Рейтинг» не заполняется.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случае, если заявка-победитель не отмечена в соответствующем поле, после публикации такого Протокола МЗ система автоматически переведет связанное Извещение МЗ в несостоявшееся.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внесения необходимых данных следует сохранить документ «Протокол» по к</w:t>
      </w:r>
      <w:r>
        <w:rPr>
          <w:rFonts w:ascii="Times New Roman" w:hAnsi="Times New Roman" w:cs="Times New Roman"/>
          <w:sz w:val="28"/>
          <w:szCs w:val="28"/>
        </w:rPr>
        <w:t xml:space="preserve">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8629" cy="320111"/>
                <wp:effectExtent l="0" t="0" r="0" b="0"/>
                <wp:docPr id="22" name="Рисунок 2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398628" cy="320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31.4pt;height:25.2pt;" stroked="false">
                <v:path textboxrect="0,0,0,0"/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Сохранить</w:t>
      </w:r>
      <w:r>
        <w:rPr>
          <w:rFonts w:ascii="Times New Roman" w:hAnsi="Times New Roman" w:cs="Times New Roman"/>
          <w:sz w:val="28"/>
          <w:szCs w:val="28"/>
        </w:rPr>
        <w:t xml:space="preserve"> и выполнить генерацию печатной формы протокола по кнопке </w: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71450"/>
                <wp:effectExtent l="0" t="0" r="9525" b="0"/>
                <wp:docPr id="23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Рисунок 45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12.8pt;height:13.5pt;">
                <v:path textboxrect="0,0,0,0"/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Генерация протокола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Сгенерированный протокол прикрепляется к документу «Протокол».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генерации печатной формы протокола дальнейшее движение документа по маршруту невозможно.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</w:t>
      </w:r>
      <w:r>
        <w:rPr>
          <w:rFonts w:ascii="Times New Roman" w:hAnsi="Times New Roman" w:cs="Times New Roman"/>
          <w:sz w:val="28"/>
          <w:szCs w:val="28"/>
        </w:rPr>
        <w:t xml:space="preserve">анный протокол необходимо подписать ЭП и опубликовать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7537" cy="247692"/>
                <wp:effectExtent l="0" t="0" r="0" b="0"/>
                <wp:docPr id="24" name="Рисунок 2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417537" cy="2476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32.9pt;height:19.5pt;" stroked="false">
                <v:path textboxrect="0,0,0,0"/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Отправить по маршруту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 окончанию срока подачи заявок на участие в закупке не подано ни одной заявки или по результатам рассмотрения заявок на участие в закупке заказчиком отклонены вс</w:t>
      </w:r>
      <w:r>
        <w:rPr>
          <w:rFonts w:ascii="Times New Roman" w:hAnsi="Times New Roman" w:cs="Times New Roman"/>
          <w:sz w:val="28"/>
          <w:szCs w:val="28"/>
        </w:rPr>
        <w:t xml:space="preserve">е поданные заявки, то закупка признается несостоявшейся, Извещение переходит в фильтр «Закупка не состоялась», на портале модуля МЗ  публикуется протокол с соответствующими данными. В таком случае заказчик повторно формирует Извещение (см. Раздел 3) и публ</w:t>
      </w:r>
      <w:r>
        <w:rPr>
          <w:rFonts w:ascii="Times New Roman" w:hAnsi="Times New Roman" w:cs="Times New Roman"/>
          <w:sz w:val="28"/>
          <w:szCs w:val="28"/>
        </w:rPr>
        <w:t xml:space="preserve">икует его на портале модуля.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признания закупки несостоявшейся заказчик осуществляет повторную публикацию Извещения. При этом начальная (максимальная) цена контракта, условия поставки товаров, выполнения работ, оказания услуг и иные условия закупк</w:t>
      </w:r>
      <w:r>
        <w:rPr>
          <w:rFonts w:ascii="Times New Roman" w:hAnsi="Times New Roman" w:cs="Times New Roman"/>
          <w:sz w:val="28"/>
          <w:szCs w:val="28"/>
        </w:rPr>
        <w:t xml:space="preserve">и могут быть изменены. Для этого необходимо создать новое Извещение в соответствии с настоящей инструкцией.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0"/>
      </w:pPr>
      <w:r/>
      <w:bookmarkStart w:id="10" w:name="_Toc176182042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ФОРМИРОВАНИЕ ДОКУМЕНТА «МАЛАЯ ЗАКУПКА».</w:t>
      </w:r>
      <w:bookmarkEnd w:id="10"/>
      <w:r/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1" w:name="_Toc176182043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проекта договора из опубликованного Извещения.</w:t>
      </w:r>
      <w:bookmarkEnd w:id="11"/>
      <w:r/>
      <w:r/>
    </w:p>
    <w:p>
      <w:pPr>
        <w:pStyle w:val="653"/>
        <w:ind w:left="1084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«Определение поставщика завершено» </w:t>
      </w:r>
      <w:r>
        <w:rPr>
          <w:rFonts w:ascii="Times New Roman" w:hAnsi="Times New Roman" w:cs="Times New Roman"/>
          <w:sz w:val="28"/>
          <w:szCs w:val="28"/>
        </w:rPr>
        <w:t xml:space="preserve">необходимо выделить Извещение и нажать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7759" cy="199792"/>
                <wp:effectExtent l="0" t="0" r="0" b="0"/>
                <wp:docPr id="25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277758" cy="1997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mso-wrap-distance-left:0.0pt;mso-wrap-distance-top:0.0pt;mso-wrap-distance-right:0.0pt;mso-wrap-distance-bottom:0.0pt;width:21.9pt;height:15.7pt;" stroked="false">
                <v:path textboxrect="0,0,0,0"/>
                <v:imagedata r:id="rId35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Формирование малой закупки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ind w:firstLine="709"/>
        <w:jc w:val="both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проект договора перейдет в папку «Проект договора с публикацией извещения» 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сформированном документе необходимо указать следующие данные: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«Товары/работы/услуги» цену за единицу товара и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общую</w:t>
      </w:r>
      <w:r>
        <w:rPr>
          <w:rFonts w:ascii="Times New Roman" w:hAnsi="Times New Roman" w:cs="Times New Roman"/>
          <w:sz w:val="28"/>
          <w:szCs w:val="28"/>
        </w:rPr>
        <w:t xml:space="preserve"> стоимость.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«Финансирование» выбрать из справочника счет, с которого будет производиться </w:t>
      </w:r>
      <w:r>
        <w:rPr>
          <w:rFonts w:ascii="Times New Roman" w:hAnsi="Times New Roman" w:cs="Times New Roman"/>
          <w:sz w:val="28"/>
          <w:szCs w:val="28"/>
        </w:rPr>
        <w:t xml:space="preserve">оплата</w:t>
      </w:r>
      <w:r>
        <w:rPr>
          <w:rFonts w:ascii="Times New Roman" w:hAnsi="Times New Roman" w:cs="Times New Roman"/>
          <w:sz w:val="28"/>
          <w:szCs w:val="28"/>
        </w:rPr>
        <w:t xml:space="preserve"> и указать общую сумму.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 Во вкладке «Поставщик» выбрать из справочника ИНН поставщика и его платежные реквизиты.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- Во вкладке «Дополнительно» при необходимости внести дополнительные данные.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прикрепить к нему скан-копию подписанного и спецификацию, которую в своей заявке приложил поставщик.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проекта контракта необходимо выбирать тип «Проект контракта» и проставить отметку «Отправить файл во внешнюю систему». При этом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данная отметка нужна для внутренних требований системы, прикрепленный файл никуда передаваться не будет.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После заполнения, документ необходимо отправить по маршруту и он перейдет в фильтр «Направлено поставщику (на подпись)»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«На данном этапе 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заказчиком ЭП на документ не проставляется»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Получив проект контракта, поставщик может совершить одно из четырех действий: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согласиться с условиям</w:t>
      </w:r>
      <w:r>
        <w:rPr>
          <w:rFonts w:ascii="Times New Roman" w:hAnsi="Times New Roman" w:cs="Times New Roman"/>
          <w:sz w:val="28"/>
          <w:szCs w:val="28"/>
        </w:rPr>
        <w:t xml:space="preserve">и заказчика и подпишет контракт.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2) не согласиться с условиями заказчика и предложит скорректировать их</w:t>
      </w:r>
      <w:r>
        <w:rPr>
          <w:rFonts w:ascii="Times New Roman" w:hAnsi="Times New Roman" w:cs="Times New Roman"/>
          <w:sz w:val="28"/>
          <w:szCs w:val="28"/>
        </w:rPr>
        <w:t xml:space="preserve">, направив протокол разногласий.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3) отказаться от исполнения </w:t>
      </w:r>
      <w:r>
        <w:rPr>
          <w:rFonts w:ascii="Times New Roman" w:hAnsi="Times New Roman" w:cs="Times New Roman"/>
          <w:sz w:val="28"/>
          <w:szCs w:val="28"/>
        </w:rPr>
        <w:t xml:space="preserve">контракта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 не совершать ни </w:t>
      </w:r>
      <w:r>
        <w:rPr>
          <w:rFonts w:ascii="Times New Roman" w:hAnsi="Times New Roman" w:cs="Times New Roman"/>
          <w:sz w:val="28"/>
          <w:szCs w:val="28"/>
        </w:rPr>
        <w:t xml:space="preserve">каких</w:t>
      </w:r>
      <w:r>
        <w:rPr>
          <w:rFonts w:ascii="Times New Roman" w:hAnsi="Times New Roman" w:cs="Times New Roman"/>
          <w:sz w:val="28"/>
          <w:szCs w:val="28"/>
        </w:rPr>
        <w:t xml:space="preserve"> действий с контрактом 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указанного регламентом. В таком случае, поставщик считается уклонившимся от заключения контракта.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После того как поставщик подпишет проек</w:t>
      </w:r>
      <w:r>
        <w:rPr>
          <w:rFonts w:ascii="Times New Roman" w:hAnsi="Times New Roman" w:cs="Times New Roman"/>
          <w:sz w:val="28"/>
          <w:szCs w:val="28"/>
        </w:rPr>
        <w:t xml:space="preserve">т контракта, у заказчика он переходит в фильтр «Получено от поставщика (на подпис</w:t>
      </w:r>
      <w:r>
        <w:rPr>
          <w:rFonts w:ascii="Times New Roman" w:hAnsi="Times New Roman" w:cs="Times New Roman"/>
          <w:sz w:val="28"/>
          <w:szCs w:val="28"/>
        </w:rPr>
        <w:t xml:space="preserve">ь)». Дата договора в малой закупке изменится на дату подписания договора поставщиком. Если все документы оформлены верно, договор следует подписать со стороны заказчика, для этого выбирается пункт/кнопка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 Далее, необходимо отметить малую закупку, затем нажать на кнопку [Отправить по маршруту] и в открывшемся окне «Выбор действия» выбрать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Документ перейдет в фильтр «Подписанный 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Затем, нужно отправить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 в реестр нажатием на кнопку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6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290298" cy="2830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22.9pt;height:22.3pt;" stroked="false">
                <v:path textboxrect="0,0,0,0"/>
                <v:imagedata r:id="rId36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формировать договор в БКС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Документ автоматически перейдет в 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«Реестр малых закупок»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договор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котор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перейдет в Бюджет-СМАРТ.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 если поставщик увидел в приложенном файле договора ошибки или неточности, он может направить заказчику свои предложения/возражения для внесения соответствующих изменений в формируемый файл «Проект договора». Для этого поставщик создает на своем комп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ьютере файл - «Протокол разногласий», в котором описывает неточности в контракте и направляет свои предложения/возражения в адрес заказчика, при этом проект договора переходит в фильтр «Получено от поставщика (протокол разногласий)».  Для ознакомления с 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зражениями поставщика нужно зайти в проект договора и нажать на кнопку «Оправдательные документы» при этом открывается окно прикрепленных файлов. Для ознакомления с содержанием файла разногласий следует дважды кликнуть по файлу, прикрепленному поставщиком.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рассмотрения документа, в зависимости от принятого решения, имеется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варианта дальнейших действий: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заказчик согласен с предлагаемыми изменениями, ему следует внести соответствую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щие изменения в имеющийся на компьютере файл «Проект договора» или создать на компьютере новый файл. После чего старый файл контракта нужно удалить (для этого следует отметить в нужный файл, а затем нажать кнопку «Удалить»). Удалив старый файл, необходимо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прикрепить новый/исправленный файл (желательно с новым именем) по аналогии с тем, как это делалось на этапе формирования проекта контракта.  После внесения соответствующих изменений далее, нажав на кнопку [Отправить по маршруту], необходимо выбрать пункт-к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нопку [На согласование]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поставщику, подтвердив решение нажатием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]. При этом контракт перейдет в фильтр «Направлено поставщику (на подпись)».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заказчик не согласен с предлагаемыми поставщиком изменениями, и желает направить встречные возражения, ему сл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едует создать на своем компьютере файл «Протокол разногласий» с указанием в нем спорных моментов. После прикрепления файла протокола разногласий его необходимо направить поставщику на рассмотрение, нажав на кнопку [Отправить по маршруту], выбрать пункт-кно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пку [Отправить с разногласием]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 нажав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. При этом Проект контракта перейдет в фильтр «Направлено поставщику (протокол разногласий)».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Обмен «Протоколами разногласий» происходит до того момента пока поставщик не примет одно из решений: 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согласовать и подписать контракт (тогда контракт перейдет в фильтр «Получено от поставщика на подпись» (дальнейшие действия с контрактом в этом фильтре были рассмотрены ранее)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отказаться от контракта (в этом случае контракт переходит в фильтр «Отказано поставщиком».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Согласно регламента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участник малой закупки, признанный победителем малой закупки (ИМЗ), но не подписавший в течение срока, установленного регламентом контракт, либо не направивший заказчику протокол разногласий, признается уклонившимся от заключения контракта).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Заказчиком договор подписывается ЭП после подписания поставщиком.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В случае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если поставщик отказывается от заключения договора или не подтве</w:t>
      </w:r>
      <w:r>
        <w:rPr>
          <w:rFonts w:ascii="Times New Roman" w:hAnsi="Times New Roman" w:cs="Times New Roman"/>
          <w:sz w:val="28"/>
          <w:szCs w:val="28"/>
        </w:rPr>
        <w:t xml:space="preserve">рждает заключение договора в установленный регламентом срок, заказчик в праве заключить договор с поставщиком, следующим в рейтинге соответствия. Для этого необходимо обратиться к администраторам АИС ГЗ, предоставив письмо на внесение поставщика в черный с</w:t>
      </w:r>
      <w:r>
        <w:rPr>
          <w:rFonts w:ascii="Times New Roman" w:hAnsi="Times New Roman" w:cs="Times New Roman"/>
          <w:sz w:val="28"/>
          <w:szCs w:val="28"/>
        </w:rPr>
        <w:t xml:space="preserve">писок и указать, что необходимо в малой закупке выбрать второго по соответствию поставщика. Администраторы переведут договор в фильтр «Проект договора» и вы сможете направить такой договор на подписание в личный кабинет второго по соответствию поставщика.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заказчику необходимо внести изменение в малую закупку, связанную с Извещением МЗ, сформированное изменение отобразиться в папке </w:t>
      </w:r>
      <w:r>
        <w:rPr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 договора без публикации извещения</w:t>
      </w:r>
      <w:r>
        <w:rPr>
          <w:rFonts w:ascii="Times New Roman" w:hAnsi="Times New Roman" w:cs="Times New Roman"/>
          <w:sz w:val="28"/>
          <w:szCs w:val="28"/>
        </w:rPr>
        <w:t xml:space="preserve">»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После внесения изменения документ необходимо направить на согласование.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Обращаем Ваше внимание на то, что в поле «Рег. номер» не вносятся изменения. Регистрационным номером МЗ является номер связанного Извещения МЗ. 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12" w:name="_Toc176182044"/>
      <w:r>
        <w:rPr>
          <w:rFonts w:ascii="Times New Roman" w:hAnsi="Times New Roman" w:cs="Times New Roman"/>
          <w:b/>
          <w:sz w:val="28"/>
          <w:szCs w:val="28"/>
        </w:rPr>
        <w:t xml:space="preserve">5.2 Формирование проекта договора без публикации извещения</w:t>
      </w:r>
      <w:bookmarkEnd w:id="12"/>
      <w:r/>
      <w:r/>
    </w:p>
    <w:p>
      <w:pPr>
        <w:pStyle w:val="661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61"/>
        <w:ind w:firstLine="709"/>
        <w:jc w:val="center"/>
        <w:spacing w:lineRule="auto" w:line="360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u w:val="single"/>
        </w:rPr>
        <w:t xml:space="preserve">Используется дл</w:t>
      </w:r>
      <w:r>
        <w:rPr>
          <w:b/>
          <w:color w:val="auto"/>
          <w:sz w:val="28"/>
          <w:szCs w:val="28"/>
          <w:u w:val="single"/>
        </w:rPr>
        <w:t xml:space="preserve">я закупок малого объема, предусмотренных списком исключения в текущей версии регламента</w:t>
      </w:r>
      <w:r>
        <w:rPr>
          <w:color w:val="auto"/>
          <w:sz w:val="28"/>
          <w:szCs w:val="28"/>
        </w:rPr>
        <w:t xml:space="preserve">.</w:t>
      </w:r>
      <w:r/>
    </w:p>
    <w:p>
      <w:pPr>
        <w:pStyle w:val="661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Для формирования договора в папке «</w:t>
      </w:r>
      <w:r>
        <w:rPr>
          <w:b/>
          <w:sz w:val="28"/>
          <w:szCs w:val="28"/>
        </w:rPr>
        <w:t xml:space="preserve">Проект договора без публикации извещения</w:t>
      </w:r>
      <w:r>
        <w:rPr>
          <w:sz w:val="28"/>
          <w:szCs w:val="28"/>
        </w:rPr>
        <w:t xml:space="preserve">» перейти в фильтр </w:t>
      </w:r>
      <w:r>
        <w:rPr>
          <w:b/>
          <w:sz w:val="28"/>
          <w:szCs w:val="28"/>
        </w:rPr>
        <w:t xml:space="preserve">«Проект договора»</w:t>
      </w:r>
      <w:r>
        <w:rPr>
          <w:sz w:val="28"/>
          <w:szCs w:val="28"/>
        </w:rPr>
        <w:t xml:space="preserve"> и по кнопке «Создать» сформировать малую закупку.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от</w:t>
      </w:r>
      <w:r>
        <w:rPr>
          <w:sz w:val="28"/>
          <w:szCs w:val="28"/>
        </w:rPr>
        <w:t xml:space="preserve">крывшемся окне заполнить документ и сохранить, приложить скан-копию договора. Выделить необходимый документ и отправить Малую закупку по маршруту на согласование по нажатию на соответствующую кнопку. Документ перейдет в фильтр «Согласованно».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фильтре «Со</w:t>
      </w:r>
      <w:r>
        <w:rPr>
          <w:sz w:val="28"/>
          <w:szCs w:val="28"/>
        </w:rPr>
        <w:t xml:space="preserve">гласованно» прикрепить скан-копию договора, выделить документ и отправить Бюджетное обязательство в Базу Бюджета по кнопке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7" name="Рисунок 2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290298" cy="2830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mso-wrap-distance-left:0.0pt;mso-wrap-distance-top:0.0pt;mso-wrap-distance-right:0.0pt;mso-wrap-distance-bottom:0.0pt;width:22.9pt;height:22.3pt;" stroked="false">
                <v:path textboxrect="0,0,0,0"/>
                <v:imagedata r:id="rId37" o:title=""/>
              </v:shape>
            </w:pict>
          </mc:Fallback>
        </mc:AlternateContent>
      </w:r>
      <w:r>
        <w:t xml:space="preserve"> </w:t>
      </w:r>
      <w:r>
        <w:rPr>
          <w:i/>
          <w:sz w:val="28"/>
          <w:szCs w:val="28"/>
        </w:rPr>
        <w:t xml:space="preserve">Сформировать договор в БКС</w:t>
      </w:r>
      <w:r>
        <w:rPr>
          <w:sz w:val="28"/>
          <w:szCs w:val="28"/>
        </w:rPr>
        <w:t xml:space="preserve">. После отправки БО документ автоматически перейдет в  </w:t>
      </w:r>
      <w:r>
        <w:rPr>
          <w:b/>
          <w:sz w:val="28"/>
          <w:szCs w:val="28"/>
        </w:rPr>
        <w:t xml:space="preserve">«Реестр малых закупок».</w:t>
      </w:r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файла необходимо выбирать тип «Проект контракта» и проставить отметку «Отправить файл во внешнюю систему». При этом, данная отметка нужна для внутренних требований системы, прикрепленный файл никуда передаваться не будет.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haroni">
    <w:panose1 w:val="02040802050405020203"/>
  </w:font>
  <w:font w:name="Tahoma">
    <w:panose1 w:val="020B0604030504040204"/>
  </w:font>
  <w:font w:name="Times New Roman">
    <w:panose1 w:val="02020603050405020304"/>
  </w:font>
  <w:font w:name="Wingdings 3">
    <w:panose1 w:val="05040102010807070707"/>
  </w:font>
  <w:font w:name="Calibri Light">
    <w:panose1 w:val="020F0302020204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)"/>
      <w:lvlJc w:val="left"/>
      <w:pPr>
        <w:ind w:left="136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0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8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2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6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6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4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"/>
      <w:lvlJc w:val="left"/>
      <w:pPr>
        <w:ind w:left="1440" w:hanging="360"/>
        <w:tabs>
          <w:tab w:val="num" w:pos="1440" w:leader="none"/>
        </w:tabs>
      </w:pPr>
      <w:rPr>
        <w:rFonts w:ascii="Wingdings 3" w:hAnsi="Wingdings 3" w:hint="default"/>
      </w:rPr>
    </w:lvl>
    <w:lvl w:ilvl="2">
      <w:start w:val="1"/>
      <w:numFmt w:val="bullet"/>
      <w:isLgl w:val="false"/>
      <w:suff w:val="tab"/>
      <w:lvlText w:val=""/>
      <w:lvlJc w:val="left"/>
      <w:pPr>
        <w:ind w:left="2160" w:hanging="360"/>
        <w:tabs>
          <w:tab w:val="num" w:pos="2160" w:leader="none"/>
        </w:tabs>
      </w:pPr>
      <w:rPr>
        <w:rFonts w:ascii="Wingdings 3" w:hAnsi="Wingdings 3" w:hint="default"/>
      </w:rPr>
    </w:lvl>
    <w:lvl w:ilvl="3">
      <w:start w:val="1"/>
      <w:numFmt w:val="bullet"/>
      <w:isLgl w:val="false"/>
      <w:suff w:val="tab"/>
      <w:lvlText w:val=""/>
      <w:lvlJc w:val="left"/>
      <w:pPr>
        <w:ind w:left="2880" w:hanging="360"/>
        <w:tabs>
          <w:tab w:val="num" w:pos="2880" w:leader="none"/>
        </w:tabs>
      </w:pPr>
      <w:rPr>
        <w:rFonts w:ascii="Wingdings 3" w:hAnsi="Wingdings 3" w:hint="default"/>
      </w:rPr>
    </w:lvl>
    <w:lvl w:ilvl="4">
      <w:start w:val="1"/>
      <w:numFmt w:val="bullet"/>
      <w:isLgl w:val="false"/>
      <w:suff w:val="tab"/>
      <w:lvlText w:val=""/>
      <w:lvlJc w:val="left"/>
      <w:pPr>
        <w:ind w:left="3600" w:hanging="360"/>
        <w:tabs>
          <w:tab w:val="num" w:pos="3600" w:leader="none"/>
        </w:tabs>
      </w:pPr>
      <w:rPr>
        <w:rFonts w:ascii="Wingdings 3" w:hAnsi="Wingdings 3" w:hint="default"/>
      </w:rPr>
    </w:lvl>
    <w:lvl w:ilvl="5">
      <w:start w:val="1"/>
      <w:numFmt w:val="bullet"/>
      <w:isLgl w:val="false"/>
      <w:suff w:val="tab"/>
      <w:lvlText w:val=""/>
      <w:lvlJc w:val="left"/>
      <w:pPr>
        <w:ind w:left="4320" w:hanging="360"/>
        <w:tabs>
          <w:tab w:val="num" w:pos="4320" w:leader="none"/>
        </w:tabs>
      </w:pPr>
      <w:rPr>
        <w:rFonts w:ascii="Wingdings 3" w:hAnsi="Wingdings 3" w:hint="default"/>
      </w:rPr>
    </w:lvl>
    <w:lvl w:ilvl="6">
      <w:start w:val="1"/>
      <w:numFmt w:val="bullet"/>
      <w:isLgl w:val="false"/>
      <w:suff w:val="tab"/>
      <w:lvlText w:val=""/>
      <w:lvlJc w:val="left"/>
      <w:pPr>
        <w:ind w:left="5040" w:hanging="360"/>
        <w:tabs>
          <w:tab w:val="num" w:pos="5040" w:leader="none"/>
        </w:tabs>
      </w:pPr>
      <w:rPr>
        <w:rFonts w:ascii="Wingdings 3" w:hAnsi="Wingdings 3" w:hint="default"/>
      </w:rPr>
    </w:lvl>
    <w:lvl w:ilvl="7">
      <w:start w:val="1"/>
      <w:numFmt w:val="bullet"/>
      <w:isLgl w:val="false"/>
      <w:suff w:val="tab"/>
      <w:lvlText w:val=""/>
      <w:lvlJc w:val="left"/>
      <w:pPr>
        <w:ind w:left="5760" w:hanging="360"/>
        <w:tabs>
          <w:tab w:val="num" w:pos="5760" w:leader="none"/>
        </w:tabs>
      </w:pPr>
      <w:rPr>
        <w:rFonts w:ascii="Wingdings 3" w:hAnsi="Wingdings 3" w:hint="default"/>
      </w:rPr>
    </w:lvl>
    <w:lvl w:ilvl="8">
      <w:start w:val="1"/>
      <w:numFmt w:val="bullet"/>
      <w:isLgl w:val="false"/>
      <w:suff w:val="tab"/>
      <w:lvlText w:val=""/>
      <w:lvlJc w:val="left"/>
      <w:pPr>
        <w:ind w:left="6480" w:hanging="360"/>
        <w:tabs>
          <w:tab w:val="num" w:pos="6480" w:leader="none"/>
        </w:tabs>
      </w:pPr>
      <w:rPr>
        <w:rFonts w:ascii="Wingdings 3" w:hAnsi="Wingdings 3"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Aharoni" w:eastAsia="Calibri"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3"/>
  </w:num>
  <w:num w:numId="5">
    <w:abstractNumId w:val="5"/>
  </w:num>
  <w:num w:numId="6">
    <w:abstractNumId w:val="8"/>
  </w:num>
  <w:num w:numId="7">
    <w:abstractNumId w:val="9"/>
  </w:num>
  <w:num w:numId="8">
    <w:abstractNumId w:val="6"/>
  </w:num>
  <w:num w:numId="9">
    <w:abstractNumId w:val="11"/>
  </w:num>
  <w:num w:numId="10">
    <w:abstractNumId w:val="4"/>
  </w:num>
  <w:num w:numId="11">
    <w:abstractNumId w:val="7"/>
  </w:num>
  <w:num w:numId="12">
    <w:abstractNumId w:val="12"/>
  </w:num>
  <w:num w:numId="13">
    <w:abstractNumId w:val="10"/>
  </w:num>
  <w:num w:numId="14">
    <w:abstractNumId w:val="2"/>
  </w:num>
  <w:num w:numId="15">
    <w:abstractNumId w:val="3"/>
  </w:num>
  <w:num w:numId="16">
    <w:abstractNumId w:val="15"/>
  </w:num>
  <w:num w:numId="17">
    <w:abstractNumId w:val="1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2 Char"/>
    <w:basedOn w:val="487"/>
    <w:link w:val="479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487"/>
    <w:link w:val="500"/>
    <w:uiPriority w:val="10"/>
    <w:rPr>
      <w:sz w:val="48"/>
      <w:szCs w:val="48"/>
    </w:rPr>
  </w:style>
  <w:style w:type="character" w:styleId="35">
    <w:name w:val="Subtitle Char"/>
    <w:basedOn w:val="487"/>
    <w:link w:val="502"/>
    <w:uiPriority w:val="11"/>
    <w:rPr>
      <w:sz w:val="24"/>
      <w:szCs w:val="24"/>
    </w:rPr>
  </w:style>
  <w:style w:type="character" w:styleId="37">
    <w:name w:val="Quote Char"/>
    <w:link w:val="504"/>
    <w:uiPriority w:val="29"/>
    <w:rPr>
      <w:i/>
    </w:rPr>
  </w:style>
  <w:style w:type="character" w:styleId="39">
    <w:name w:val="Intense Quote Char"/>
    <w:link w:val="506"/>
    <w:uiPriority w:val="30"/>
    <w:rPr>
      <w:i/>
    </w:rPr>
  </w:style>
  <w:style w:type="character" w:styleId="41">
    <w:name w:val="Header Char"/>
    <w:basedOn w:val="487"/>
    <w:link w:val="508"/>
    <w:uiPriority w:val="99"/>
  </w:style>
  <w:style w:type="character" w:styleId="45">
    <w:name w:val="Caption Char"/>
    <w:basedOn w:val="657"/>
    <w:link w:val="510"/>
    <w:uiPriority w:val="99"/>
  </w:style>
  <w:style w:type="character" w:styleId="174">
    <w:name w:val="Footnote Text Char"/>
    <w:link w:val="639"/>
    <w:uiPriority w:val="99"/>
    <w:rPr>
      <w:sz w:val="18"/>
    </w:rPr>
  </w:style>
  <w:style w:type="character" w:styleId="177">
    <w:name w:val="Endnote Text Char"/>
    <w:link w:val="642"/>
    <w:uiPriority w:val="99"/>
    <w:rPr>
      <w:sz w:val="20"/>
    </w:rPr>
  </w:style>
  <w:style w:type="paragraph" w:styleId="477" w:default="1">
    <w:name w:val="Normal"/>
    <w:qFormat/>
    <w:rPr>
      <w:lang w:eastAsia="ru-RU"/>
    </w:rPr>
    <w:pPr>
      <w:spacing w:lineRule="auto" w:line="276" w:after="200"/>
    </w:pPr>
  </w:style>
  <w:style w:type="paragraph" w:styleId="478">
    <w:name w:val="Heading 1"/>
    <w:basedOn w:val="477"/>
    <w:next w:val="477"/>
    <w:link w:val="654"/>
    <w:qFormat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</w:rPr>
    <w:pPr>
      <w:keepLines/>
      <w:keepNext/>
      <w:spacing w:after="0" w:before="240"/>
      <w:outlineLvl w:val="0"/>
    </w:pPr>
  </w:style>
  <w:style w:type="paragraph" w:styleId="479">
    <w:name w:val="Heading 2"/>
    <w:basedOn w:val="477"/>
    <w:next w:val="477"/>
    <w:link w:val="49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before="360"/>
      <w:outlineLvl w:val="1"/>
    </w:pPr>
  </w:style>
  <w:style w:type="paragraph" w:styleId="480">
    <w:name w:val="Heading 3"/>
    <w:basedOn w:val="477"/>
    <w:next w:val="477"/>
    <w:link w:val="492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before="320"/>
      <w:outlineLvl w:val="2"/>
    </w:pPr>
  </w:style>
  <w:style w:type="paragraph" w:styleId="481">
    <w:name w:val="Heading 4"/>
    <w:basedOn w:val="477"/>
    <w:next w:val="477"/>
    <w:link w:val="49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before="320"/>
      <w:outlineLvl w:val="3"/>
    </w:pPr>
  </w:style>
  <w:style w:type="paragraph" w:styleId="482">
    <w:name w:val="Heading 5"/>
    <w:basedOn w:val="477"/>
    <w:next w:val="477"/>
    <w:link w:val="494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before="320"/>
      <w:outlineLvl w:val="4"/>
    </w:pPr>
  </w:style>
  <w:style w:type="paragraph" w:styleId="483">
    <w:name w:val="Heading 6"/>
    <w:basedOn w:val="477"/>
    <w:next w:val="477"/>
    <w:link w:val="495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before="320"/>
      <w:outlineLvl w:val="5"/>
    </w:pPr>
  </w:style>
  <w:style w:type="paragraph" w:styleId="484">
    <w:name w:val="Heading 7"/>
    <w:basedOn w:val="477"/>
    <w:next w:val="477"/>
    <w:link w:val="496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before="320"/>
      <w:outlineLvl w:val="6"/>
    </w:pPr>
  </w:style>
  <w:style w:type="paragraph" w:styleId="485">
    <w:name w:val="Heading 8"/>
    <w:basedOn w:val="477"/>
    <w:next w:val="477"/>
    <w:link w:val="497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before="320"/>
      <w:outlineLvl w:val="7"/>
    </w:pPr>
  </w:style>
  <w:style w:type="paragraph" w:styleId="486">
    <w:name w:val="Heading 9"/>
    <w:basedOn w:val="477"/>
    <w:next w:val="477"/>
    <w:link w:val="49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before="320"/>
      <w:outlineLvl w:val="8"/>
    </w:pPr>
  </w:style>
  <w:style w:type="character" w:styleId="487" w:default="1">
    <w:name w:val="Default Paragraph Font"/>
    <w:uiPriority w:val="1"/>
    <w:semiHidden/>
    <w:unhideWhenUsed/>
  </w:style>
  <w:style w:type="table" w:styleId="4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89" w:default="1">
    <w:name w:val="No List"/>
    <w:uiPriority w:val="99"/>
    <w:semiHidden/>
    <w:unhideWhenUsed/>
  </w:style>
  <w:style w:type="character" w:styleId="490" w:customStyle="1">
    <w:name w:val="Heading 1 Char"/>
    <w:basedOn w:val="487"/>
    <w:uiPriority w:val="9"/>
    <w:rPr>
      <w:rFonts w:ascii="Arial" w:hAnsi="Arial" w:cs="Arial" w:eastAsia="Arial"/>
      <w:sz w:val="40"/>
      <w:szCs w:val="40"/>
    </w:rPr>
  </w:style>
  <w:style w:type="character" w:styleId="491" w:customStyle="1">
    <w:name w:val="Заголовок 2 Знак"/>
    <w:basedOn w:val="487"/>
    <w:link w:val="479"/>
    <w:uiPriority w:val="9"/>
    <w:rPr>
      <w:rFonts w:ascii="Arial" w:hAnsi="Arial" w:cs="Arial" w:eastAsia="Arial"/>
      <w:sz w:val="34"/>
    </w:rPr>
  </w:style>
  <w:style w:type="character" w:styleId="492" w:customStyle="1">
    <w:name w:val="Заголовок 3 Знак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493" w:customStyle="1">
    <w:name w:val="Заголовок 4 Знак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494" w:customStyle="1">
    <w:name w:val="Заголовок 5 Знак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495" w:customStyle="1">
    <w:name w:val="Заголовок 6 Знак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496" w:customStyle="1">
    <w:name w:val="Заголовок 7 Знак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497" w:customStyle="1">
    <w:name w:val="Заголовок 8 Знак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498" w:customStyle="1">
    <w:name w:val="Заголовок 9 Знак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paragraph" w:styleId="499">
    <w:name w:val="No Spacing"/>
    <w:qFormat/>
    <w:uiPriority w:val="1"/>
    <w:pPr>
      <w:spacing w:lineRule="auto" w:line="240" w:after="0"/>
    </w:pPr>
  </w:style>
  <w:style w:type="paragraph" w:styleId="500">
    <w:name w:val="Title"/>
    <w:basedOn w:val="477"/>
    <w:next w:val="477"/>
    <w:link w:val="501"/>
    <w:qFormat/>
    <w:uiPriority w:val="10"/>
    <w:rPr>
      <w:sz w:val="48"/>
      <w:szCs w:val="48"/>
    </w:rPr>
    <w:pPr>
      <w:contextualSpacing w:val="true"/>
      <w:spacing w:before="300"/>
    </w:pPr>
  </w:style>
  <w:style w:type="character" w:styleId="501" w:customStyle="1">
    <w:name w:val="Заголовок Знак"/>
    <w:basedOn w:val="487"/>
    <w:link w:val="500"/>
    <w:uiPriority w:val="10"/>
    <w:rPr>
      <w:sz w:val="48"/>
      <w:szCs w:val="48"/>
    </w:rPr>
  </w:style>
  <w:style w:type="paragraph" w:styleId="502">
    <w:name w:val="Subtitle"/>
    <w:basedOn w:val="477"/>
    <w:next w:val="477"/>
    <w:link w:val="503"/>
    <w:qFormat/>
    <w:uiPriority w:val="11"/>
    <w:rPr>
      <w:sz w:val="24"/>
      <w:szCs w:val="24"/>
    </w:rPr>
    <w:pPr>
      <w:spacing w:before="200"/>
    </w:pPr>
  </w:style>
  <w:style w:type="character" w:styleId="503" w:customStyle="1">
    <w:name w:val="Подзаголовок Знак"/>
    <w:basedOn w:val="487"/>
    <w:link w:val="502"/>
    <w:uiPriority w:val="11"/>
    <w:rPr>
      <w:sz w:val="24"/>
      <w:szCs w:val="24"/>
    </w:rPr>
  </w:style>
  <w:style w:type="paragraph" w:styleId="504">
    <w:name w:val="Quote"/>
    <w:basedOn w:val="477"/>
    <w:next w:val="477"/>
    <w:link w:val="505"/>
    <w:qFormat/>
    <w:uiPriority w:val="29"/>
    <w:rPr>
      <w:i/>
    </w:rPr>
    <w:pPr>
      <w:ind w:left="720" w:right="720"/>
    </w:pPr>
  </w:style>
  <w:style w:type="character" w:styleId="505" w:customStyle="1">
    <w:name w:val="Цитата 2 Знак"/>
    <w:link w:val="504"/>
    <w:uiPriority w:val="29"/>
    <w:rPr>
      <w:i/>
    </w:rPr>
  </w:style>
  <w:style w:type="paragraph" w:styleId="506">
    <w:name w:val="Intense Quote"/>
    <w:basedOn w:val="477"/>
    <w:next w:val="477"/>
    <w:link w:val="507"/>
    <w:qFormat/>
    <w:uiPriority w:val="30"/>
    <w:rPr>
      <w:i/>
    </w:rPr>
    <w:pPr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07" w:customStyle="1">
    <w:name w:val="Выделенная цитата Знак"/>
    <w:link w:val="506"/>
    <w:uiPriority w:val="30"/>
    <w:rPr>
      <w:i/>
    </w:rPr>
  </w:style>
  <w:style w:type="paragraph" w:styleId="508">
    <w:name w:val="Header"/>
    <w:basedOn w:val="477"/>
    <w:link w:val="50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9" w:customStyle="1">
    <w:name w:val="Верхний колонтитул Знак"/>
    <w:basedOn w:val="487"/>
    <w:link w:val="508"/>
    <w:uiPriority w:val="99"/>
  </w:style>
  <w:style w:type="paragraph" w:styleId="510">
    <w:name w:val="Footer"/>
    <w:basedOn w:val="477"/>
    <w:link w:val="512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11" w:customStyle="1">
    <w:name w:val="Footer Char"/>
    <w:basedOn w:val="487"/>
    <w:uiPriority w:val="99"/>
  </w:style>
  <w:style w:type="character" w:styleId="512" w:customStyle="1">
    <w:name w:val="Нижний колонтитул Знак"/>
    <w:link w:val="510"/>
    <w:uiPriority w:val="99"/>
  </w:style>
  <w:style w:type="table" w:styleId="513">
    <w:name w:val="Table Grid"/>
    <w:basedOn w:val="488"/>
    <w:uiPriority w:val="5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table" w:styleId="514" w:customStyle="1">
    <w:name w:val="Table Grid Light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</w:style>
  <w:style w:type="table" w:styleId="515">
    <w:name w:val="Plain Table 1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6">
    <w:name w:val="Plain Table 2"/>
    <w:basedOn w:val="488"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7">
    <w:name w:val="Plain Table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8">
    <w:name w:val="Plain Table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>
    <w:name w:val="Plain Table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20">
    <w:name w:val="Grid Table 1 Light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1" w:customStyle="1">
    <w:name w:val="Grid Table 1 Light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2" w:customStyle="1">
    <w:name w:val="Grid Table 1 Light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3" w:customStyle="1">
    <w:name w:val="Grid Table 1 Light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4" w:customStyle="1">
    <w:name w:val="Grid Table 1 Light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5" w:customStyle="1">
    <w:name w:val="Grid Table 1 Light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6" w:customStyle="1">
    <w:name w:val="Grid Table 1 Light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7">
    <w:name w:val="Grid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8" w:customStyle="1">
    <w:name w:val="Grid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8A2D8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8A2D8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9" w:customStyle="1">
    <w:name w:val="Grid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0" w:customStyle="1">
    <w:name w:val="Grid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1" w:customStyle="1">
    <w:name w:val="Grid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2" w:customStyle="1">
    <w:name w:val="Grid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33" w:customStyle="1">
    <w:name w:val="Grid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5" w:customStyle="1">
    <w:name w:val="Grid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6" w:customStyle="1">
    <w:name w:val="Grid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7" w:customStyle="1">
    <w:name w:val="Grid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8" w:customStyle="1">
    <w:name w:val="Grid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9" w:customStyle="1">
    <w:name w:val="Grid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0" w:customStyle="1">
    <w:name w:val="Grid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Grid Table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42" w:customStyle="1">
    <w:name w:val="Grid Table 4 - Accent 1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V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68A2D8" w:themeFill="accent1" w:themeFillTint="EA"/>
        <w:tcBorders>
          <w:left w:val="single" w:color="68A2D8" w:sz="4" w:space="0" w:themeColor="accent1" w:themeTint="EA"/>
          <w:top w:val="single" w:color="68A2D8" w:sz="4" w:space="0" w:themeColor="accent1" w:themeTint="EA"/>
          <w:right w:val="single" w:color="68A2D8" w:sz="4" w:space="0" w:themeColor="accent1" w:themeTint="EA"/>
          <w:bottom w:val="single" w:color="68A2D8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 w:themeColor="accent1" w:themeTint="EA"/>
        </w:tcBorders>
      </w:tcPr>
    </w:tblStylePr>
  </w:style>
  <w:style w:type="table" w:styleId="543" w:customStyle="1">
    <w:name w:val="Grid Table 4 - Accent 2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V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  <w:tcBorders>
          <w:left w:val="single" w:color="F4B184" w:sz="4" w:space="0" w:themeColor="accent2" w:themeTint="97"/>
          <w:top w:val="single" w:color="F4B184" w:sz="4" w:space="0" w:themeColor="accent2" w:themeTint="97"/>
          <w:right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 w:themeColor="accent2" w:themeTint="97"/>
        </w:tcBorders>
      </w:tcPr>
    </w:tblStylePr>
  </w:style>
  <w:style w:type="table" w:styleId="544" w:customStyle="1">
    <w:name w:val="Grid Table 4 - Accent 3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V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 w:themeFillTint="FE"/>
        <w:tcBorders>
          <w:left w:val="single" w:color="A5A5A5" w:sz="4" w:space="0" w:themeColor="accent3" w:themeTint="FE"/>
          <w:top w:val="single" w:color="A5A5A5" w:sz="4" w:space="0" w:themeColor="accent3" w:themeTint="FE"/>
          <w:right w:val="single" w:color="A5A5A5" w:sz="4" w:space="0" w:themeColor="accent3" w:themeTint="FE"/>
          <w:bottom w:val="single" w:color="A5A5A5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 w:themeColor="accent3" w:themeTint="FE"/>
        </w:tcBorders>
      </w:tcPr>
    </w:tblStylePr>
  </w:style>
  <w:style w:type="table" w:styleId="545" w:customStyle="1">
    <w:name w:val="Grid Table 4 - Accent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V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  <w:tcBorders>
          <w:left w:val="single" w:color="FFD865" w:sz="4" w:space="0" w:themeColor="accent4" w:themeTint="9A"/>
          <w:top w:val="single" w:color="FFD865" w:sz="4" w:space="0" w:themeColor="accent4" w:themeTint="9A"/>
          <w:right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 w:themeColor="accent4" w:themeTint="9A"/>
        </w:tcBorders>
      </w:tcPr>
    </w:tblStylePr>
  </w:style>
  <w:style w:type="table" w:styleId="546" w:customStyle="1">
    <w:name w:val="Grid Table 4 - Accent 5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left w:val="single" w:color="4472C4" w:sz="4" w:space="0" w:themeColor="accent5"/>
          <w:top w:val="single" w:color="4472C4" w:sz="4" w:space="0" w:themeColor="accent5"/>
          <w:right w:val="single" w:color="4472C4" w:sz="4" w:space="0" w:themeColor="accent5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 w:themeColor="accent5"/>
        </w:tcBorders>
      </w:tcPr>
    </w:tblStylePr>
  </w:style>
  <w:style w:type="table" w:styleId="547" w:customStyle="1">
    <w:name w:val="Grid Table 4 - Accent 6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left w:val="single" w:color="70AD47" w:sz="4" w:space="0" w:themeColor="accent6"/>
          <w:top w:val="single" w:color="70AD47" w:sz="4" w:space="0" w:themeColor="accent6"/>
          <w:right w:val="single" w:color="70AD47" w:sz="4" w:space="0" w:themeColor="accent6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 w:themeColor="accent6"/>
        </w:tcBorders>
      </w:tcPr>
    </w:tblStylePr>
  </w:style>
  <w:style w:type="table" w:styleId="548">
    <w:name w:val="Grid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BFBFBF" w:themeFill="text1" w:themeFillTint="40"/>
    </w:tblPr>
    <w:tblStylePr w:type="band1Horz">
      <w:tcPr>
        <w:shd w:val="clear" w:color="auto" w:fill="8A8A8A" w:themeFill="text1" w:themeFillTint="75"/>
      </w:tcPr>
    </w:tblStylePr>
    <w:tblStylePr w:type="band1Vert">
      <w:tcPr>
        <w:shd w:val="clear" w:color="auto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FFFFFF" w:sz="4" w:space="0" w:themeColor="light1"/>
        </w:tcBorders>
      </w:tcPr>
    </w:tblStylePr>
  </w:style>
  <w:style w:type="table" w:styleId="549" w:customStyle="1">
    <w:name w:val="Grid Table 5 Dark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DEAF6" w:themeFill="accent1" w:themeFillTint="34"/>
    </w:tblPr>
    <w:tblStylePr w:type="band1Horz">
      <w:tcPr>
        <w:shd w:val="clear" w:color="auto" w:fill="B3D0EB" w:themeFill="accent1" w:themeFillTint="75"/>
      </w:tcPr>
    </w:tblStylePr>
    <w:tblStylePr w:type="band1Vert">
      <w:tcPr>
        <w:shd w:val="clear" w:color="auto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5B9BD5" w:themeFill="accent1"/>
        <w:tcBorders>
          <w:top w:val="single" w:color="FFFFFF" w:sz="4" w:space="0" w:themeColor="light1"/>
        </w:tcBorders>
      </w:tcPr>
    </w:tblStylePr>
  </w:style>
  <w:style w:type="table" w:styleId="550" w:customStyle="1">
    <w:name w:val="Grid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BE5D6" w:themeFill="accent2" w:themeFillTint="32"/>
    </w:tblPr>
    <w:tblStylePr w:type="band1Horz">
      <w:tcPr>
        <w:shd w:val="clear" w:color="auto" w:fill="F6C3A0" w:themeFill="accent2" w:themeFillTint="75"/>
      </w:tcPr>
    </w:tblStylePr>
    <w:tblStylePr w:type="band1Vert">
      <w:tcPr>
        <w:shd w:val="clear" w:color="auto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ED7D31" w:themeFill="accent2"/>
        <w:tcBorders>
          <w:top w:val="single" w:color="FFFFFF" w:sz="4" w:space="0" w:themeColor="light1"/>
        </w:tcBorders>
      </w:tcPr>
    </w:tblStylePr>
  </w:style>
  <w:style w:type="table" w:styleId="551" w:customStyle="1">
    <w:name w:val="Grid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CECEC" w:themeFill="accent3" w:themeFillTint="34"/>
    </w:tblPr>
    <w:tblStylePr w:type="band1Horz">
      <w:tcPr>
        <w:shd w:val="clear" w:color="auto" w:fill="D5D5D5" w:themeFill="accent3" w:themeFillTint="75"/>
      </w:tcPr>
    </w:tblStylePr>
    <w:tblStylePr w:type="band1Vert">
      <w:tcPr>
        <w:shd w:val="clear" w:color="auto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A5A5A5" w:themeFill="accent3"/>
        <w:tcBorders>
          <w:top w:val="single" w:color="FFFFFF" w:sz="4" w:space="0" w:themeColor="light1"/>
        </w:tcBorders>
      </w:tcPr>
    </w:tblStylePr>
  </w:style>
  <w:style w:type="table" w:styleId="552" w:customStyle="1">
    <w:name w:val="Grid Table 5 Dark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FF2CB" w:themeFill="accent4" w:themeFillTint="34"/>
    </w:tblPr>
    <w:tblStylePr w:type="band1Horz">
      <w:tcPr>
        <w:shd w:val="clear" w:color="auto" w:fill="FFE28A" w:themeFill="accent4" w:themeFillTint="75"/>
      </w:tcPr>
    </w:tblStylePr>
    <w:tblStylePr w:type="band1Vert">
      <w:tcPr>
        <w:shd w:val="clear" w:color="auto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C000" w:themeFill="accent4"/>
        <w:tcBorders>
          <w:top w:val="single" w:color="FFFFFF" w:sz="4" w:space="0" w:themeColor="light1"/>
        </w:tcBorders>
      </w:tcPr>
    </w:tblStylePr>
  </w:style>
  <w:style w:type="table" w:styleId="553" w:customStyle="1">
    <w:name w:val="Grid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8E2F3" w:themeFill="accent5" w:themeFillTint="34"/>
    </w:tblPr>
    <w:tblStylePr w:type="band1Horz">
      <w:tcPr>
        <w:shd w:val="clear" w:color="auto" w:fill="A9BEE4" w:themeFill="accent5" w:themeFillTint="75"/>
      </w:tcPr>
    </w:tblStylePr>
    <w:tblStylePr w:type="band1Vert">
      <w:tcPr>
        <w:shd w:val="clear" w:color="auto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top w:val="single" w:color="FFFFFF" w:sz="4" w:space="0" w:themeColor="light1"/>
        </w:tcBorders>
      </w:tcPr>
    </w:tblStylePr>
  </w:style>
  <w:style w:type="table" w:styleId="554" w:customStyle="1">
    <w:name w:val="Grid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1EFD8" w:themeFill="accent6" w:themeFillTint="34"/>
    </w:tblPr>
    <w:tblStylePr w:type="band1Horz">
      <w:tcPr>
        <w:shd w:val="clear" w:color="auto" w:fill="BCDBA8" w:themeFill="accent6" w:themeFillTint="75"/>
      </w:tcPr>
    </w:tblStylePr>
    <w:tblStylePr w:type="band1Vert">
      <w:tcPr>
        <w:shd w:val="clear" w:color="auto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top w:val="single" w:color="FFFFFF" w:sz="4" w:space="0" w:themeColor="light1"/>
        </w:tcBorders>
      </w:tcPr>
    </w:tblStylePr>
  </w:style>
  <w:style w:type="table" w:styleId="555">
    <w:name w:val="Grid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CBCBCB" w:themeFill="text1" w:themeFillTint="34"/>
      </w:tcPr>
    </w:tblStylePr>
    <w:tblStylePr w:type="band1Vert"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556" w:customStyle="1">
    <w:name w:val="Grid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CCCEA" w:sz="4" w:space="0" w:themeColor="accent1" w:themeTint="80"/>
        <w:top w:val="single" w:color="ACCCEA" w:sz="4" w:space="0" w:themeColor="accent1" w:themeTint="80"/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sz="12" w:space="0" w:themeColor="accent1" w:themeTint="8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557" w:customStyle="1">
    <w:name w:val="Grid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558" w:customStyle="1">
    <w:name w:val="Grid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5A5A5" w:sz="4" w:space="0" w:themeColor="accent3" w:themeTint="FE"/>
        <w:top w:val="single" w:color="A5A5A5" w:sz="4" w:space="0" w:themeColor="accent3" w:themeTint="FE"/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sz="12" w:space="0" w:themeColor="accent3" w:themeTint="FE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559" w:customStyle="1">
    <w:name w:val="Grid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560" w:customStyle="1">
    <w:name w:val="Grid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4472C4" w:sz="4" w:space="0" w:themeColor="accent5"/>
        <w:top w:val="single" w:color="4472C4" w:sz="4" w:space="0" w:themeColor="accent5"/>
        <w:right w:val="single" w:color="4472C4" w:sz="4" w:space="0" w:themeColor="accent5"/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sz="12" w:space="0" w:themeColor="accent5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1" w:customStyle="1">
    <w:name w:val="Grid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0AD47" w:sz="4" w:space="0" w:themeColor="accent6"/>
        <w:top w:val="single" w:color="70AD47" w:sz="4" w:space="0" w:themeColor="accent6"/>
        <w:right w:val="single" w:color="70AD47" w:sz="4" w:space="0" w:themeColor="accent6"/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sz="12" w:space="0" w:themeColor="accent6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2">
    <w:name w:val="Grid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63" w:customStyle="1">
    <w:name w:val="Grid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CCCEA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CCCEA" w:sz="4" w:space="0" w:themeColor="accent1" w:themeTint="8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auto" w:fill="FFFFFF"/>
        <w:tcBorders>
          <w:left w:val="single" w:color="ACCCEA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CCCEA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64" w:customStyle="1">
    <w:name w:val="Grid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65" w:customStyle="1">
    <w:name w:val="Grid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5A5A5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 w:themeTint="FE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auto" w:fill="FFFFFF"/>
        <w:tcBorders>
          <w:left w:val="single" w:color="A5A5A5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66" w:customStyle="1">
    <w:name w:val="Grid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7" w:customStyle="1">
    <w:name w:val="Grid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95AFDD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auto" w:fill="FFFFFF"/>
        <w:tcBorders>
          <w:left w:val="single" w:color="95AFDD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8" w:customStyle="1">
    <w:name w:val="Grid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DD394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auto" w:fill="FFFFFF"/>
        <w:tcBorders>
          <w:left w:val="single" w:color="ADD394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1 Light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70" w:customStyle="1">
    <w:name w:val="List Table 1 Light - Accent 1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71" w:customStyle="1">
    <w:name w:val="List Table 1 Light - Accent 2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ED7D31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ED7D31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72" w:customStyle="1">
    <w:name w:val="List Table 1 Light - Accent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A5A5A5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73" w:customStyle="1">
    <w:name w:val="List Table 1 Light - Accent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C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FC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74" w:customStyle="1">
    <w:name w:val="List Table 1 Light - Accent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75" w:customStyle="1">
    <w:name w:val="List Table 1 Light - Accent 6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6">
    <w:name w:val="List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577" w:customStyle="1">
    <w:name w:val="List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</w:style>
  <w:style w:type="table" w:styleId="578" w:customStyle="1">
    <w:name w:val="List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</w:style>
  <w:style w:type="table" w:styleId="579" w:customStyle="1">
    <w:name w:val="List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</w:style>
  <w:style w:type="table" w:styleId="580" w:customStyle="1">
    <w:name w:val="List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</w:style>
  <w:style w:type="table" w:styleId="581" w:customStyle="1">
    <w:name w:val="List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</w:style>
  <w:style w:type="table" w:styleId="582" w:customStyle="1">
    <w:name w:val="List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</w:style>
  <w:style w:type="table" w:styleId="583">
    <w:name w:val="List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 w:customStyle="1">
    <w:name w:val="List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4" w:space="0" w:themeColor="accent1"/>
        <w:top w:val="single" w:color="5B9BD5" w:sz="4" w:space="0" w:themeColor="accent1"/>
        <w:right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 w:themeColor="accent1"/>
          <w:bottom w:val="single" w:color="5B9BD5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 w:themeColor="accent1"/>
          <w:right w:val="single" w:color="5B9BD5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 w:customStyle="1">
    <w:name w:val="List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 w:themeColor="accent2" w:themeTint="97"/>
          <w:right w:val="single" w:color="F4B184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 w:customStyle="1">
    <w:name w:val="List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4" w:space="0" w:themeColor="accent3" w:themeTint="98"/>
        <w:top w:val="single" w:color="C9C9C9" w:sz="4" w:space="0" w:themeColor="accent3" w:themeTint="98"/>
        <w:right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 w:themeColor="accent3" w:themeTint="98"/>
          <w:bottom w:val="single" w:color="C9C9C9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 w:themeColor="accent3" w:themeTint="98"/>
          <w:right w:val="single" w:color="C9C9C9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 w:customStyle="1">
    <w:name w:val="List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 w:themeColor="accent4" w:themeTint="9A"/>
          <w:right w:val="single" w:color="FFD865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 w:customStyle="1">
    <w:name w:val="List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4" w:space="0" w:themeColor="accent5" w:themeTint="9A"/>
        <w:top w:val="single" w:color="8DA9DB" w:sz="4" w:space="0" w:themeColor="accent5" w:themeTint="9A"/>
        <w:right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 w:themeColor="accent5" w:themeTint="9A"/>
          <w:bottom w:val="single" w:color="8DA9DB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 w:themeColor="accent5" w:themeTint="9A"/>
          <w:right w:val="single" w:color="8DA9DB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 w:customStyle="1">
    <w:name w:val="List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4" w:space="0" w:themeColor="accent6" w:themeTint="98"/>
        <w:top w:val="single" w:color="A9D08E" w:sz="4" w:space="0" w:themeColor="accent6" w:themeTint="98"/>
        <w:right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 w:themeColor="accent6" w:themeTint="98"/>
          <w:bottom w:val="single" w:color="A9D08E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 w:themeColor="accent6" w:themeTint="98"/>
          <w:right w:val="single" w:color="A9D08E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 w:customStyle="1">
    <w:name w:val="List Table 4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 w:customStyle="1">
    <w:name w:val="List Table 4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3" w:customStyle="1">
    <w:name w:val="List Table 4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4" w:customStyle="1">
    <w:name w:val="List Table 4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5" w:customStyle="1">
    <w:name w:val="List Table 4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6" w:customStyle="1">
    <w:name w:val="List Table 4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7">
    <w:name w:val="List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auto" w:fill="7F7F7F" w:themeFill="text1" w:themeFillTint="80"/>
    </w:tblPr>
    <w:tblStylePr w:type="band1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7F7F7F" w:themeFill="text1" w:themeFill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7F7F7F" w:themeFill="text1" w:themeFill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8" w:customStyle="1">
    <w:name w:val="List Table 5 Dark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32" w:space="0" w:themeColor="accent1"/>
        <w:top w:val="single" w:color="5B9BD5" w:sz="32" w:space="0" w:themeColor="accent1"/>
        <w:right w:val="single" w:color="5B9BD5" w:sz="32" w:space="0" w:themeColor="accent1"/>
        <w:bottom w:val="single" w:color="5B9BD5" w:sz="32" w:space="0" w:themeColor="accent1"/>
      </w:tblBorders>
      <w:shd w:val="clear" w:color="auto" w:fill="5B9BD5" w:themeFill="accent1"/>
    </w:tblPr>
    <w:tblStylePr w:type="band1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5B9BD5" w:themeFill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5B9BD5" w:themeFill="accent1"/>
        <w:tcBorders>
          <w:top w:val="single" w:color="5B9BD5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5B9BD5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9" w:customStyle="1">
    <w:name w:val="List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32" w:space="0" w:themeColor="accent2" w:themeTint="97"/>
        <w:top w:val="single" w:color="F4B184" w:sz="32" w:space="0" w:themeColor="accent2" w:themeTint="97"/>
        <w:right w:val="single" w:color="F4B184" w:sz="32" w:space="0" w:themeColor="accent2" w:themeTint="97"/>
        <w:bottom w:val="single" w:color="F4B184" w:sz="32" w:space="0" w:themeColor="accent2" w:themeTint="97"/>
      </w:tblBorders>
      <w:shd w:val="clear" w:color="auto" w:fill="F4B184" w:themeFill="accent2" w:themeFillTint="97"/>
    </w:tblPr>
    <w:tblStylePr w:type="band1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4B184" w:themeFill="accent2" w:themeFill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4B184" w:themeFill="accent2" w:themeFillTint="97"/>
        <w:tcBorders>
          <w:top w:val="single" w:color="F4B184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4B184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0" w:customStyle="1">
    <w:name w:val="List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32" w:space="0" w:themeColor="accent3" w:themeTint="98"/>
        <w:top w:val="single" w:color="C9C9C9" w:sz="32" w:space="0" w:themeColor="accent3" w:themeTint="98"/>
        <w:right w:val="single" w:color="C9C9C9" w:sz="32" w:space="0" w:themeColor="accent3" w:themeTint="98"/>
        <w:bottom w:val="single" w:color="C9C9C9" w:sz="32" w:space="0" w:themeColor="accent3" w:themeTint="98"/>
      </w:tblBorders>
      <w:shd w:val="clear" w:color="auto" w:fill="C9C9C9" w:themeFill="accent3" w:themeFillTint="98"/>
    </w:tblPr>
    <w:tblStylePr w:type="band1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C9C9C9" w:themeFill="accent3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C9C9C9" w:themeFill="accent3" w:themeFillTint="98"/>
        <w:tcBorders>
          <w:top w:val="single" w:color="C9C9C9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9C9C9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1" w:customStyle="1">
    <w:name w:val="List Table 5 Dark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32" w:space="0" w:themeColor="accent4" w:themeTint="9A"/>
        <w:top w:val="single" w:color="FFD865" w:sz="32" w:space="0" w:themeColor="accent4" w:themeTint="9A"/>
        <w:right w:val="single" w:color="FFD865" w:sz="32" w:space="0" w:themeColor="accent4" w:themeTint="9A"/>
        <w:bottom w:val="single" w:color="FFD865" w:sz="32" w:space="0" w:themeColor="accent4" w:themeTint="9A"/>
      </w:tblBorders>
      <w:shd w:val="clear" w:color="auto" w:fill="FFD865" w:themeFill="accent4" w:themeFillTint="9A"/>
    </w:tblPr>
    <w:tblStylePr w:type="band1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FD865" w:themeFill="accent4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D865" w:themeFill="accent4" w:themeFillTint="9A"/>
        <w:tcBorders>
          <w:top w:val="single" w:color="FFD865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FD865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2" w:customStyle="1">
    <w:name w:val="List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32" w:space="0" w:themeColor="accent5" w:themeTint="9A"/>
        <w:top w:val="single" w:color="8DA9DB" w:sz="32" w:space="0" w:themeColor="accent5" w:themeTint="9A"/>
        <w:right w:val="single" w:color="8DA9DB" w:sz="32" w:space="0" w:themeColor="accent5" w:themeTint="9A"/>
        <w:bottom w:val="single" w:color="8DA9DB" w:sz="32" w:space="0" w:themeColor="accent5" w:themeTint="9A"/>
      </w:tblBorders>
      <w:shd w:val="clear" w:color="auto" w:fill="8DA9DB" w:themeFill="accent5" w:themeFillTint="9A"/>
    </w:tblPr>
    <w:tblStylePr w:type="band1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8DA9DB" w:themeFill="accent5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8DA9DB" w:themeFill="accent5" w:themeFillTint="9A"/>
        <w:tcBorders>
          <w:top w:val="single" w:color="8DA9DB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8DA9DB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3" w:customStyle="1">
    <w:name w:val="List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32" w:space="0" w:themeColor="accent6" w:themeTint="98"/>
        <w:top w:val="single" w:color="A9D08E" w:sz="32" w:space="0" w:themeColor="accent6" w:themeTint="98"/>
        <w:right w:val="single" w:color="A9D08E" w:sz="32" w:space="0" w:themeColor="accent6" w:themeTint="98"/>
        <w:bottom w:val="single" w:color="A9D08E" w:sz="32" w:space="0" w:themeColor="accent6" w:themeTint="98"/>
      </w:tblBorders>
      <w:shd w:val="clear" w:color="auto" w:fill="A9D08E" w:themeFill="accent6" w:themeFillTint="98"/>
    </w:tblPr>
    <w:tblStylePr w:type="band1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A9D08E" w:themeFill="accent6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A9D08E" w:themeFill="accent6" w:themeFillTint="98"/>
        <w:tcBorders>
          <w:top w:val="single" w:color="A9D08E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A9D08E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4">
    <w:name w:val="List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605" w:customStyle="1">
    <w:name w:val="List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sz="4" w:space="0" w:themeColor="accent1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sz="4" w:space="0" w:themeColor="accent1"/>
        </w:tcBorders>
      </w:tcPr>
    </w:tblStylePr>
  </w:style>
  <w:style w:type="table" w:styleId="606" w:customStyle="1">
    <w:name w:val="List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4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sz="4" w:space="0" w:themeColor="accent2" w:themeTint="97"/>
        </w:tcBorders>
      </w:tcPr>
    </w:tblStylePr>
  </w:style>
  <w:style w:type="table" w:styleId="607" w:customStyle="1">
    <w:name w:val="List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sz="4" w:space="0" w:themeColor="accent3" w:themeTint="98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sz="4" w:space="0" w:themeColor="accent3" w:themeTint="98"/>
        </w:tcBorders>
      </w:tcPr>
    </w:tblStylePr>
  </w:style>
  <w:style w:type="table" w:styleId="608" w:customStyle="1">
    <w:name w:val="List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4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sz="4" w:space="0" w:themeColor="accent4" w:themeTint="9A"/>
        </w:tcBorders>
      </w:tcPr>
    </w:tblStylePr>
  </w:style>
  <w:style w:type="table" w:styleId="609" w:customStyle="1">
    <w:name w:val="List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sz="4" w:space="0" w:themeColor="accent5" w:themeTint="9A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sz="4" w:space="0" w:themeColor="accent5" w:themeTint="9A"/>
        </w:tcBorders>
      </w:tcPr>
    </w:tblStylePr>
  </w:style>
  <w:style w:type="table" w:styleId="610" w:customStyle="1">
    <w:name w:val="List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sz="4" w:space="0" w:themeColor="accent6" w:themeTint="98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sz="4" w:space="0" w:themeColor="accent6" w:themeTint="98"/>
        </w:tcBorders>
      </w:tcPr>
    </w:tblStylePr>
  </w:style>
  <w:style w:type="table" w:styleId="611">
    <w:name w:val="List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612" w:customStyle="1">
    <w:name w:val="List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5B9BD5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auto" w:fill="FFFFFF"/>
        <w:tcBorders>
          <w:left w:val="single" w:color="5B9BD5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613" w:customStyle="1">
    <w:name w:val="List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4" w:customStyle="1">
    <w:name w:val="List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C9C9C9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9C9C9" w:sz="4" w:space="0" w:themeColor="accent3" w:themeTint="98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/>
        <w:tcBorders>
          <w:left w:val="single" w:color="C9C9C9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C9C9C9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615" w:customStyle="1">
    <w:name w:val="List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16" w:customStyle="1">
    <w:name w:val="List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8DA9DB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DA9DB" w:sz="4" w:space="0" w:themeColor="accent5" w:themeTint="9A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/>
        <w:tcBorders>
          <w:left w:val="single" w:color="8DA9DB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8DA9DB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617" w:customStyle="1">
    <w:name w:val="List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9D08E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9D08E" w:sz="4" w:space="0" w:themeColor="accent6" w:themeTint="98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/>
        <w:tcBorders>
          <w:left w:val="single" w:color="A9D08E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9D08E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618" w:customStyle="1">
    <w:name w:val="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19" w:customStyle="1">
    <w:name w:val="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0" w:customStyle="1">
    <w:name w:val="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1" w:customStyle="1">
    <w:name w:val="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2" w:customStyle="1">
    <w:name w:val="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23" w:customStyle="1">
    <w:name w:val="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24" w:customStyle="1">
    <w:name w:val="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25" w:customStyle="1">
    <w:name w:val="Bordered &amp; 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26" w:customStyle="1">
    <w:name w:val="Bordered &amp; 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45A8D" w:sz="4" w:space="0" w:themeColor="accent1" w:themeShade="95"/>
        <w:top w:val="single" w:color="245A8D" w:sz="4" w:space="0" w:themeColor="accent1" w:themeShade="95"/>
        <w:right w:val="single" w:color="245A8D" w:sz="4" w:space="0" w:themeColor="accent1" w:themeShade="95"/>
        <w:bottom w:val="single" w:color="245A8D" w:sz="4" w:space="0" w:themeColor="accent1" w:themeShade="95"/>
        <w:insideV w:val="single" w:color="245A8D" w:sz="4" w:space="0" w:themeColor="accent1" w:themeShade="95"/>
        <w:insideH w:val="single" w:color="245A8D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7" w:customStyle="1">
    <w:name w:val="Bordered &amp; 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9460D" w:sz="4" w:space="0" w:themeColor="accent2" w:themeShade="95"/>
        <w:top w:val="single" w:color="99460D" w:sz="4" w:space="0" w:themeColor="accent2" w:themeShade="95"/>
        <w:right w:val="single" w:color="99460D" w:sz="4" w:space="0" w:themeColor="accent2" w:themeShade="95"/>
        <w:bottom w:val="single" w:color="99460D" w:sz="4" w:space="0" w:themeColor="accent2" w:themeShade="95"/>
        <w:insideV w:val="single" w:color="99460D" w:sz="4" w:space="0" w:themeColor="accent2" w:themeShade="95"/>
        <w:insideH w:val="single" w:color="99460D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8" w:customStyle="1">
    <w:name w:val="Bordered &amp; 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606060" w:sz="4" w:space="0" w:themeColor="accent3" w:themeShade="95"/>
        <w:top w:val="single" w:color="606060" w:sz="4" w:space="0" w:themeColor="accent3" w:themeShade="95"/>
        <w:right w:val="single" w:color="606060" w:sz="4" w:space="0" w:themeColor="accent3" w:themeShade="95"/>
        <w:bottom w:val="single" w:color="606060" w:sz="4" w:space="0" w:themeColor="accent3" w:themeShade="95"/>
        <w:insideV w:val="single" w:color="606060" w:sz="4" w:space="0" w:themeColor="accent3" w:themeShade="95"/>
        <w:insideH w:val="single" w:color="60606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9" w:customStyle="1">
    <w:name w:val="Bordered &amp; 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57000" w:sz="4" w:space="0" w:themeColor="accent4" w:themeShade="95"/>
        <w:top w:val="single" w:color="957000" w:sz="4" w:space="0" w:themeColor="accent4" w:themeShade="95"/>
        <w:right w:val="single" w:color="957000" w:sz="4" w:space="0" w:themeColor="accent4" w:themeShade="95"/>
        <w:bottom w:val="single" w:color="957000" w:sz="4" w:space="0" w:themeColor="accent4" w:themeShade="95"/>
        <w:insideV w:val="single" w:color="957000" w:sz="4" w:space="0" w:themeColor="accent4" w:themeShade="95"/>
        <w:insideH w:val="single" w:color="957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30" w:customStyle="1">
    <w:name w:val="Bordered &amp; 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54175" w:sz="4" w:space="0" w:themeColor="accent5" w:themeShade="95"/>
        <w:top w:val="single" w:color="254175" w:sz="4" w:space="0" w:themeColor="accent5" w:themeShade="95"/>
        <w:right w:val="single" w:color="254175" w:sz="4" w:space="0" w:themeColor="accent5" w:themeShade="95"/>
        <w:bottom w:val="single" w:color="254175" w:sz="4" w:space="0" w:themeColor="accent5" w:themeShade="95"/>
        <w:insideV w:val="single" w:color="254175" w:sz="4" w:space="0" w:themeColor="accent5" w:themeShade="95"/>
        <w:insideH w:val="single" w:color="254175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31" w:customStyle="1">
    <w:name w:val="Bordered &amp; 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416429" w:sz="4" w:space="0" w:themeColor="accent6" w:themeShade="95"/>
        <w:top w:val="single" w:color="416429" w:sz="4" w:space="0" w:themeColor="accent6" w:themeShade="95"/>
        <w:right w:val="single" w:color="416429" w:sz="4" w:space="0" w:themeColor="accent6" w:themeShade="95"/>
        <w:bottom w:val="single" w:color="416429" w:sz="4" w:space="0" w:themeColor="accent6" w:themeShade="95"/>
        <w:insideV w:val="single" w:color="416429" w:sz="4" w:space="0" w:themeColor="accent6" w:themeShade="95"/>
        <w:insideH w:val="single" w:color="416429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32" w:customStyle="1">
    <w:name w:val="Bordered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633" w:customStyle="1">
    <w:name w:val="Bordered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 w:themeColor="accent1"/>
        </w:tcBorders>
      </w:tcPr>
    </w:tblStylePr>
  </w:style>
  <w:style w:type="table" w:styleId="634" w:customStyle="1">
    <w:name w:val="Bordered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 w:themeColor="accent2" w:themeTint="97"/>
        </w:tcBorders>
      </w:tcPr>
    </w:tblStylePr>
  </w:style>
  <w:style w:type="table" w:styleId="635" w:customStyle="1">
    <w:name w:val="Bordered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 w:themeColor="accent3" w:themeTint="98"/>
        </w:tcBorders>
      </w:tcPr>
    </w:tblStylePr>
  </w:style>
  <w:style w:type="table" w:styleId="636" w:customStyle="1">
    <w:name w:val="Bordered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 w:themeColor="accent4" w:themeTint="9A"/>
        </w:tcBorders>
      </w:tcPr>
    </w:tblStylePr>
  </w:style>
  <w:style w:type="table" w:styleId="637" w:customStyle="1">
    <w:name w:val="Bordered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 w:themeColor="accent5" w:themeTint="9A"/>
        </w:tcBorders>
      </w:tcPr>
    </w:tblStylePr>
  </w:style>
  <w:style w:type="table" w:styleId="638" w:customStyle="1">
    <w:name w:val="Bordered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 w:themeColor="accent6" w:themeTint="98"/>
        </w:tcBorders>
      </w:tcPr>
    </w:tblStylePr>
  </w:style>
  <w:style w:type="paragraph" w:styleId="639">
    <w:name w:val="footnote text"/>
    <w:basedOn w:val="477"/>
    <w:link w:val="640"/>
    <w:uiPriority w:val="99"/>
    <w:semiHidden/>
    <w:unhideWhenUsed/>
    <w:rPr>
      <w:sz w:val="18"/>
    </w:rPr>
    <w:pPr>
      <w:spacing w:lineRule="auto" w:line="240" w:after="40"/>
    </w:pPr>
  </w:style>
  <w:style w:type="character" w:styleId="640" w:customStyle="1">
    <w:name w:val="Текст сноски Знак"/>
    <w:link w:val="639"/>
    <w:uiPriority w:val="99"/>
    <w:rPr>
      <w:sz w:val="18"/>
    </w:rPr>
  </w:style>
  <w:style w:type="character" w:styleId="641">
    <w:name w:val="footnote reference"/>
    <w:basedOn w:val="487"/>
    <w:uiPriority w:val="99"/>
    <w:unhideWhenUsed/>
    <w:rPr>
      <w:vertAlign w:val="superscript"/>
    </w:rPr>
  </w:style>
  <w:style w:type="paragraph" w:styleId="642">
    <w:name w:val="endnote text"/>
    <w:basedOn w:val="477"/>
    <w:link w:val="643"/>
    <w:uiPriority w:val="99"/>
    <w:semiHidden/>
    <w:unhideWhenUsed/>
    <w:rPr>
      <w:sz w:val="20"/>
    </w:rPr>
    <w:pPr>
      <w:spacing w:lineRule="auto" w:line="240" w:after="0"/>
    </w:pPr>
  </w:style>
  <w:style w:type="character" w:styleId="643" w:customStyle="1">
    <w:name w:val="Текст концевой сноски Знак"/>
    <w:link w:val="642"/>
    <w:uiPriority w:val="99"/>
    <w:rPr>
      <w:sz w:val="20"/>
    </w:rPr>
  </w:style>
  <w:style w:type="character" w:styleId="644">
    <w:name w:val="endnote reference"/>
    <w:basedOn w:val="487"/>
    <w:uiPriority w:val="99"/>
    <w:semiHidden/>
    <w:unhideWhenUsed/>
    <w:rPr>
      <w:vertAlign w:val="superscript"/>
    </w:rPr>
  </w:style>
  <w:style w:type="paragraph" w:styleId="645">
    <w:name w:val="toc 3"/>
    <w:basedOn w:val="477"/>
    <w:next w:val="477"/>
    <w:uiPriority w:val="39"/>
    <w:unhideWhenUsed/>
    <w:pPr>
      <w:ind w:left="567"/>
      <w:spacing w:after="57"/>
    </w:pPr>
  </w:style>
  <w:style w:type="paragraph" w:styleId="646">
    <w:name w:val="toc 4"/>
    <w:basedOn w:val="477"/>
    <w:next w:val="477"/>
    <w:uiPriority w:val="39"/>
    <w:unhideWhenUsed/>
    <w:pPr>
      <w:ind w:left="850"/>
      <w:spacing w:after="57"/>
    </w:pPr>
  </w:style>
  <w:style w:type="paragraph" w:styleId="647">
    <w:name w:val="toc 5"/>
    <w:basedOn w:val="477"/>
    <w:next w:val="477"/>
    <w:uiPriority w:val="39"/>
    <w:unhideWhenUsed/>
    <w:pPr>
      <w:ind w:left="1134"/>
      <w:spacing w:after="57"/>
    </w:pPr>
  </w:style>
  <w:style w:type="paragraph" w:styleId="648">
    <w:name w:val="toc 6"/>
    <w:basedOn w:val="477"/>
    <w:next w:val="477"/>
    <w:uiPriority w:val="39"/>
    <w:unhideWhenUsed/>
    <w:pPr>
      <w:ind w:left="1417"/>
      <w:spacing w:after="57"/>
    </w:pPr>
  </w:style>
  <w:style w:type="paragraph" w:styleId="649">
    <w:name w:val="toc 7"/>
    <w:basedOn w:val="477"/>
    <w:next w:val="477"/>
    <w:uiPriority w:val="39"/>
    <w:unhideWhenUsed/>
    <w:pPr>
      <w:ind w:left="1701"/>
      <w:spacing w:after="57"/>
    </w:pPr>
  </w:style>
  <w:style w:type="paragraph" w:styleId="650">
    <w:name w:val="toc 8"/>
    <w:basedOn w:val="477"/>
    <w:next w:val="477"/>
    <w:uiPriority w:val="39"/>
    <w:unhideWhenUsed/>
    <w:pPr>
      <w:ind w:left="1984"/>
      <w:spacing w:after="57"/>
    </w:pPr>
  </w:style>
  <w:style w:type="paragraph" w:styleId="651">
    <w:name w:val="toc 9"/>
    <w:basedOn w:val="477"/>
    <w:next w:val="477"/>
    <w:uiPriority w:val="39"/>
    <w:unhideWhenUsed/>
    <w:pPr>
      <w:ind w:left="2268"/>
      <w:spacing w:after="57"/>
    </w:pPr>
  </w:style>
  <w:style w:type="character" w:styleId="652">
    <w:name w:val="Hyperlink"/>
    <w:basedOn w:val="487"/>
    <w:uiPriority w:val="99"/>
    <w:unhideWhenUsed/>
    <w:rPr>
      <w:color w:val="0563C1" w:themeColor="hyperlink"/>
      <w:u w:val="single"/>
    </w:rPr>
  </w:style>
  <w:style w:type="paragraph" w:styleId="653">
    <w:name w:val="List Paragraph"/>
    <w:basedOn w:val="477"/>
    <w:qFormat/>
    <w:uiPriority w:val="34"/>
    <w:pPr>
      <w:contextualSpacing w:val="true"/>
      <w:ind w:left="720"/>
    </w:pPr>
  </w:style>
  <w:style w:type="character" w:styleId="654" w:customStyle="1">
    <w:name w:val="Заголовок 1 Знак"/>
    <w:basedOn w:val="487"/>
    <w:link w:val="478"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  <w:lang w:eastAsia="ru-RU"/>
    </w:rPr>
  </w:style>
  <w:style w:type="paragraph" w:styleId="655">
    <w:name w:val="TOC Heading"/>
    <w:basedOn w:val="478"/>
    <w:next w:val="477"/>
    <w:qFormat/>
    <w:uiPriority w:val="39"/>
    <w:unhideWhenUsed/>
    <w:pPr>
      <w:spacing w:lineRule="auto" w:line="259"/>
      <w:outlineLvl w:val="9"/>
    </w:pPr>
  </w:style>
  <w:style w:type="paragraph" w:styleId="656">
    <w:name w:val="toc 1"/>
    <w:basedOn w:val="477"/>
    <w:next w:val="477"/>
    <w:uiPriority w:val="39"/>
    <w:unhideWhenUsed/>
    <w:pPr>
      <w:spacing w:after="100"/>
    </w:pPr>
  </w:style>
  <w:style w:type="paragraph" w:styleId="657">
    <w:name w:val="Caption"/>
    <w:basedOn w:val="477"/>
    <w:next w:val="477"/>
    <w:qFormat/>
    <w:uiPriority w:val="35"/>
    <w:semiHidden/>
    <w:unhideWhenUsed/>
    <w:rPr>
      <w:rFonts w:ascii="Times New Roman" w:hAnsi="Times New Roman" w:cs="Times New Roman" w:eastAsia="Times New Roman"/>
      <w:b/>
      <w:bCs/>
      <w:sz w:val="20"/>
      <w:szCs w:val="20"/>
    </w:rPr>
    <w:pPr>
      <w:jc w:val="center"/>
      <w:spacing w:lineRule="auto" w:line="240" w:after="120" w:before="120"/>
    </w:pPr>
  </w:style>
  <w:style w:type="character" w:styleId="658" w:customStyle="1">
    <w:name w:val="Обычный (КС) Знак"/>
    <w:link w:val="659"/>
    <w:rPr>
      <w:sz w:val="24"/>
      <w:szCs w:val="24"/>
    </w:rPr>
  </w:style>
  <w:style w:type="paragraph" w:styleId="659" w:customStyle="1">
    <w:name w:val="Обычный (КС)"/>
    <w:link w:val="658"/>
    <w:rPr>
      <w:sz w:val="24"/>
      <w:szCs w:val="24"/>
    </w:rPr>
    <w:pPr>
      <w:ind w:firstLine="709"/>
      <w:jc w:val="both"/>
      <w:spacing w:lineRule="auto" w:line="240" w:after="0"/>
    </w:pPr>
  </w:style>
  <w:style w:type="paragraph" w:styleId="660">
    <w:name w:val="toc 2"/>
    <w:basedOn w:val="477"/>
    <w:next w:val="477"/>
    <w:uiPriority w:val="39"/>
    <w:unhideWhenUsed/>
    <w:pPr>
      <w:ind w:left="220"/>
      <w:spacing w:after="100"/>
    </w:pPr>
  </w:style>
  <w:style w:type="paragraph" w:styleId="661" w:customStyle="1">
    <w:name w:val="Default"/>
    <w:rPr>
      <w:rFonts w:ascii="Times New Roman" w:hAnsi="Times New Roman" w:cs="Times New Roman"/>
      <w:color w:val="000000"/>
      <w:sz w:val="24"/>
      <w:szCs w:val="24"/>
    </w:rPr>
    <w:pPr>
      <w:spacing w:lineRule="auto" w:line="240" w:after="0"/>
    </w:pPr>
  </w:style>
  <w:style w:type="paragraph" w:styleId="662">
    <w:name w:val="Balloon Text"/>
    <w:basedOn w:val="477"/>
    <w:link w:val="663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663" w:customStyle="1">
    <w:name w:val="Текст выноски Знак"/>
    <w:basedOn w:val="487"/>
    <w:link w:val="662"/>
    <w:uiPriority w:val="99"/>
    <w:semiHidden/>
    <w:rPr>
      <w:rFonts w:ascii="Tahoma" w:hAnsi="Tahoma" w:cs="Tahoma" w:eastAsia="Calibri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goszakupki.admin-smolensk.ru/smallpurchases" TargetMode="External"/><Relationship Id="rId10" Type="http://schemas.openxmlformats.org/officeDocument/2006/relationships/image" Target="media/image1.png"/><Relationship Id="rId11" Type="http://schemas.openxmlformats.org/officeDocument/2006/relationships/hyperlink" Target="http://goszakupki.admin-smolensk.ru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Р7-Офис/6.0.1.37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Екатерина Сергеевна</dc:creator>
  <cp:keywords/>
  <dc:description/>
  <cp:revision>20</cp:revision>
  <dcterms:created xsi:type="dcterms:W3CDTF">2023-03-16T12:07:00Z</dcterms:created>
  <dcterms:modified xsi:type="dcterms:W3CDTF">2024-09-16T07:40:49Z</dcterms:modified>
</cp:coreProperties>
</file>